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2611FC" w14:textId="77821299" w:rsidR="004F7DA9" w:rsidRPr="00C51ACB" w:rsidRDefault="004F7DA9" w:rsidP="000B2152">
      <w:pPr>
        <w:spacing w:line="259" w:lineRule="auto"/>
        <w:jc w:val="right"/>
        <w:rPr>
          <w:rFonts w:ascii="Verdana" w:hAnsi="Verdana"/>
          <w:sz w:val="19"/>
          <w:szCs w:val="19"/>
        </w:rPr>
      </w:pPr>
      <w:bookmarkStart w:id="0" w:name="_GoBack"/>
      <w:bookmarkEnd w:id="0"/>
      <w:r w:rsidRPr="00C51ACB">
        <w:rPr>
          <w:rFonts w:ascii="Verdana" w:eastAsiaTheme="majorEastAsia" w:hAnsi="Verdana" w:cstheme="majorBidi"/>
          <w:noProof/>
          <w:color w:val="323E4F" w:themeColor="text2" w:themeShade="BF"/>
          <w:spacing w:val="5"/>
          <w:kern w:val="28"/>
          <w:sz w:val="19"/>
          <w:szCs w:val="19"/>
        </w:rPr>
        <w:drawing>
          <wp:inline distT="0" distB="0" distL="0" distR="0" wp14:anchorId="7F3DB632" wp14:editId="4B4F49D8">
            <wp:extent cx="2228850" cy="844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a:extLst>
                        <a:ext uri="{837473B0-CC2E-450A-ABE3-18F120FF3D39}">
                          <a1611:picAttrSrcUrl xmlns:a1611="http://schemas.microsoft.com/office/drawing/2016/11/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0"/>
                        </a:ext>
                      </a:extLst>
                    </a:blip>
                    <a:stretch>
                      <a:fillRect/>
                    </a:stretch>
                  </pic:blipFill>
                  <pic:spPr>
                    <a:xfrm>
                      <a:off x="0" y="0"/>
                      <a:ext cx="2240610" cy="849006"/>
                    </a:xfrm>
                    <a:prstGeom prst="rect">
                      <a:avLst/>
                    </a:prstGeom>
                  </pic:spPr>
                </pic:pic>
              </a:graphicData>
            </a:graphic>
          </wp:inline>
        </w:drawing>
      </w:r>
    </w:p>
    <w:p w14:paraId="7290B1DD" w14:textId="77777777" w:rsidR="000B2152" w:rsidRDefault="000B2152" w:rsidP="000F2E2F">
      <w:pPr>
        <w:rPr>
          <w:rFonts w:ascii="Verdana" w:hAnsi="Verdana" w:cs="Times New Roman"/>
          <w:sz w:val="19"/>
          <w:szCs w:val="19"/>
        </w:rPr>
      </w:pPr>
    </w:p>
    <w:p w14:paraId="35847A45" w14:textId="77777777" w:rsidR="000B2152" w:rsidRDefault="000B2152" w:rsidP="000F2E2F">
      <w:pPr>
        <w:rPr>
          <w:rFonts w:ascii="Verdana" w:hAnsi="Verdana" w:cs="Times New Roman"/>
          <w:sz w:val="19"/>
          <w:szCs w:val="19"/>
        </w:rPr>
      </w:pPr>
    </w:p>
    <w:p w14:paraId="36538B60" w14:textId="77777777" w:rsidR="000B2152" w:rsidRPr="000B2152" w:rsidRDefault="000B2152" w:rsidP="000F2E2F">
      <w:pPr>
        <w:rPr>
          <w:rFonts w:ascii="Verdana" w:hAnsi="Verdana" w:cs="Times New Roman"/>
          <w:b/>
          <w:sz w:val="19"/>
          <w:szCs w:val="19"/>
        </w:rPr>
      </w:pPr>
    </w:p>
    <w:p w14:paraId="0DF2C39C" w14:textId="7895AF68" w:rsidR="004F7DA9" w:rsidRPr="000B2152" w:rsidRDefault="004F7DA9" w:rsidP="000B2152">
      <w:pPr>
        <w:jc w:val="center"/>
        <w:rPr>
          <w:rFonts w:ascii="Times New Roman" w:eastAsia="Times New Roman" w:hAnsi="Times New Roman" w:cs="Times New Roman"/>
          <w:b/>
          <w:sz w:val="20"/>
          <w:szCs w:val="20"/>
        </w:rPr>
      </w:pPr>
      <w:r w:rsidRPr="000B2152">
        <w:rPr>
          <w:rFonts w:ascii="Verdana" w:hAnsi="Verdana" w:cs="Times New Roman"/>
          <w:b/>
          <w:sz w:val="19"/>
          <w:szCs w:val="19"/>
        </w:rPr>
        <w:t xml:space="preserve">INTERNATIONAL COMMISSION OF JURISTS’ </w:t>
      </w:r>
      <w:r w:rsidR="000B2152">
        <w:rPr>
          <w:rFonts w:ascii="Verdana" w:hAnsi="Verdana" w:cs="Times New Roman"/>
          <w:b/>
          <w:sz w:val="19"/>
          <w:szCs w:val="19"/>
        </w:rPr>
        <w:t>RESPONSE</w:t>
      </w:r>
      <w:r w:rsidRPr="000B2152">
        <w:rPr>
          <w:rFonts w:ascii="Verdana" w:hAnsi="Verdana" w:cs="Times New Roman"/>
          <w:b/>
          <w:sz w:val="19"/>
          <w:szCs w:val="19"/>
        </w:rPr>
        <w:t xml:space="preserve"> TO THE </w:t>
      </w:r>
      <w:r w:rsidR="000B2152" w:rsidRPr="000B2152">
        <w:rPr>
          <w:rFonts w:ascii="Verdana" w:hAnsi="Verdana" w:cs="Times New Roman"/>
          <w:b/>
          <w:sz w:val="19"/>
          <w:szCs w:val="19"/>
        </w:rPr>
        <w:t>QUE</w:t>
      </w:r>
      <w:r w:rsidR="000B2152">
        <w:rPr>
          <w:rFonts w:ascii="Verdana" w:hAnsi="Verdana" w:cs="Times New Roman"/>
          <w:b/>
          <w:sz w:val="19"/>
          <w:szCs w:val="19"/>
        </w:rPr>
        <w:t>STIONNAIRE FOR NON-STATE ACTORS OF THE UN</w:t>
      </w:r>
      <w:r w:rsidR="00DC2237" w:rsidRPr="000B2152">
        <w:rPr>
          <w:rFonts w:ascii="Verdana" w:hAnsi="Verdana" w:cs="Times New Roman"/>
          <w:b/>
          <w:sz w:val="19"/>
          <w:szCs w:val="19"/>
        </w:rPr>
        <w:t xml:space="preserve"> </w:t>
      </w:r>
      <w:r w:rsidRPr="000B2152">
        <w:rPr>
          <w:rFonts w:ascii="Verdana" w:hAnsi="Verdana" w:cs="Times New Roman"/>
          <w:b/>
          <w:sz w:val="19"/>
          <w:szCs w:val="19"/>
        </w:rPr>
        <w:t xml:space="preserve">SPECIAL RAPPORTEUR ON THE HUMAN RIGHTS TO SAFE DRINKING WATER AND SANITATION </w:t>
      </w:r>
      <w:r w:rsidR="0097591F" w:rsidRPr="000B2152">
        <w:rPr>
          <w:rFonts w:ascii="Verdana" w:hAnsi="Verdana" w:cs="Times New Roman"/>
          <w:b/>
          <w:sz w:val="19"/>
          <w:szCs w:val="19"/>
        </w:rPr>
        <w:t xml:space="preserve">IN </w:t>
      </w:r>
      <w:r w:rsidR="000B2152" w:rsidRPr="000B2152">
        <w:rPr>
          <w:rFonts w:ascii="Verdana" w:hAnsi="Verdana" w:cs="Times New Roman"/>
          <w:b/>
          <w:sz w:val="19"/>
          <w:szCs w:val="19"/>
        </w:rPr>
        <w:t xml:space="preserve">VIEW OF </w:t>
      </w:r>
      <w:r w:rsidR="000B2152">
        <w:rPr>
          <w:rFonts w:ascii="Verdana" w:hAnsi="Verdana" w:cs="Times New Roman"/>
          <w:b/>
          <w:sz w:val="19"/>
          <w:szCs w:val="19"/>
        </w:rPr>
        <w:t>HIS FORTHCOMING</w:t>
      </w:r>
      <w:r w:rsidR="000B2152" w:rsidRPr="000B2152">
        <w:rPr>
          <w:rFonts w:ascii="Verdana" w:hAnsi="Verdana" w:cs="Times New Roman"/>
          <w:b/>
          <w:sz w:val="19"/>
          <w:szCs w:val="19"/>
        </w:rPr>
        <w:t xml:space="preserve"> REPORT TO THE </w:t>
      </w:r>
      <w:r w:rsidR="0097591F" w:rsidRPr="000B2152">
        <w:rPr>
          <w:rFonts w:ascii="Verdana" w:hAnsi="Verdana" w:cs="Times New Roman"/>
          <w:b/>
          <w:sz w:val="19"/>
          <w:szCs w:val="19"/>
        </w:rPr>
        <w:t xml:space="preserve">2019 </w:t>
      </w:r>
      <w:r w:rsidR="00781B8D" w:rsidRPr="000B2152">
        <w:rPr>
          <w:rFonts w:ascii="Verdana" w:hAnsi="Verdana" w:cs="Times New Roman"/>
          <w:b/>
          <w:sz w:val="19"/>
          <w:szCs w:val="19"/>
        </w:rPr>
        <w:t xml:space="preserve">HUMAN RIGHTS COUNCIL </w:t>
      </w:r>
      <w:r w:rsidR="0097591F" w:rsidRPr="000B2152">
        <w:rPr>
          <w:rFonts w:ascii="Verdana" w:hAnsi="Verdana" w:cs="Times New Roman"/>
          <w:b/>
          <w:sz w:val="19"/>
          <w:szCs w:val="19"/>
        </w:rPr>
        <w:t xml:space="preserve">ON </w:t>
      </w:r>
      <w:r w:rsidR="000B2152" w:rsidRPr="000B2152">
        <w:rPr>
          <w:rFonts w:ascii="Verdana" w:hAnsi="Verdana" w:cs="Times New Roman"/>
          <w:b/>
          <w:sz w:val="19"/>
          <w:szCs w:val="19"/>
        </w:rPr>
        <w:t xml:space="preserve">THE </w:t>
      </w:r>
      <w:r w:rsidR="0097591F" w:rsidRPr="000B2152">
        <w:rPr>
          <w:rFonts w:ascii="Verdana" w:hAnsi="Verdana" w:cs="Times New Roman"/>
          <w:b/>
          <w:sz w:val="19"/>
          <w:szCs w:val="19"/>
        </w:rPr>
        <w:t>HUMAN RIGHTS TO WATER AND SANITATION IN SPHERES OF LIFE BEYOND THE HOUSEHOLD</w:t>
      </w:r>
      <w:r w:rsidR="00781B8D" w:rsidRPr="000B2152">
        <w:rPr>
          <w:rFonts w:ascii="Verdana" w:hAnsi="Verdana" w:cs="Times New Roman"/>
          <w:b/>
          <w:sz w:val="19"/>
          <w:szCs w:val="19"/>
        </w:rPr>
        <w:t xml:space="preserve">, </w:t>
      </w:r>
      <w:r w:rsidR="00781B8D" w:rsidRPr="000B2152">
        <w:rPr>
          <w:rFonts w:ascii="Verdana" w:eastAsia="Times New Roman" w:hAnsi="Verdana" w:cs="Times New Roman"/>
          <w:b/>
          <w:color w:val="000000"/>
          <w:sz w:val="19"/>
          <w:szCs w:val="19"/>
          <w:shd w:val="clear" w:color="auto" w:fill="FFFFFF"/>
        </w:rPr>
        <w:t>IN PARTICULAR IN PUBLIC SPACES</w:t>
      </w:r>
    </w:p>
    <w:p w14:paraId="5A4CDE2F" w14:textId="77777777" w:rsidR="00424CA7" w:rsidRPr="00C51ACB" w:rsidRDefault="00424CA7" w:rsidP="00C51ACB">
      <w:pPr>
        <w:jc w:val="center"/>
        <w:rPr>
          <w:rFonts w:ascii="Verdana" w:hAnsi="Verdana" w:cs="Times New Roman"/>
          <w:sz w:val="19"/>
          <w:szCs w:val="19"/>
        </w:rPr>
      </w:pPr>
    </w:p>
    <w:p w14:paraId="767FD32E" w14:textId="1A51486D" w:rsidR="004F7DA9" w:rsidRPr="00C51ACB" w:rsidRDefault="004F7DA9" w:rsidP="00C51ACB">
      <w:pPr>
        <w:jc w:val="center"/>
        <w:rPr>
          <w:rFonts w:ascii="Verdana" w:hAnsi="Verdana"/>
          <w:sz w:val="19"/>
          <w:szCs w:val="19"/>
        </w:rPr>
      </w:pPr>
      <w:r w:rsidRPr="00C51ACB">
        <w:rPr>
          <w:rFonts w:ascii="Verdana" w:hAnsi="Verdana"/>
          <w:sz w:val="19"/>
          <w:szCs w:val="19"/>
        </w:rPr>
        <w:t xml:space="preserve">Submitted on </w:t>
      </w:r>
      <w:r w:rsidR="00424CA7" w:rsidRPr="00C51ACB">
        <w:rPr>
          <w:rFonts w:ascii="Verdana" w:hAnsi="Verdana"/>
          <w:sz w:val="19"/>
          <w:szCs w:val="19"/>
        </w:rPr>
        <w:t>28</w:t>
      </w:r>
      <w:r w:rsidRPr="00C51ACB">
        <w:rPr>
          <w:rFonts w:ascii="Verdana" w:hAnsi="Verdana"/>
          <w:sz w:val="19"/>
          <w:szCs w:val="19"/>
        </w:rPr>
        <w:t xml:space="preserve"> </w:t>
      </w:r>
      <w:r w:rsidR="00424CA7" w:rsidRPr="00C51ACB">
        <w:rPr>
          <w:rFonts w:ascii="Verdana" w:hAnsi="Verdana"/>
          <w:sz w:val="19"/>
          <w:szCs w:val="19"/>
        </w:rPr>
        <w:t>February</w:t>
      </w:r>
      <w:r w:rsidRPr="00C51ACB">
        <w:rPr>
          <w:rFonts w:ascii="Verdana" w:hAnsi="Verdana"/>
          <w:sz w:val="19"/>
          <w:szCs w:val="19"/>
        </w:rPr>
        <w:t xml:space="preserve"> 201</w:t>
      </w:r>
      <w:r w:rsidR="00424CA7" w:rsidRPr="00C51ACB">
        <w:rPr>
          <w:rFonts w:ascii="Verdana" w:hAnsi="Verdana"/>
          <w:sz w:val="19"/>
          <w:szCs w:val="19"/>
        </w:rPr>
        <w:t>9</w:t>
      </w:r>
    </w:p>
    <w:p w14:paraId="3B54460E" w14:textId="444D4D0D" w:rsidR="00424CA7" w:rsidRPr="00C51ACB" w:rsidRDefault="00424CA7" w:rsidP="004F7DA9">
      <w:pPr>
        <w:rPr>
          <w:rFonts w:ascii="Verdana" w:hAnsi="Verdana"/>
          <w:sz w:val="19"/>
          <w:szCs w:val="19"/>
        </w:rPr>
      </w:pPr>
    </w:p>
    <w:p w14:paraId="6491D226" w14:textId="3C15697D" w:rsidR="00424CA7" w:rsidRPr="00C51ACB" w:rsidRDefault="00424CA7" w:rsidP="004F7DA9">
      <w:pPr>
        <w:rPr>
          <w:rFonts w:ascii="Verdana" w:hAnsi="Verdana"/>
          <w:sz w:val="19"/>
          <w:szCs w:val="19"/>
        </w:rPr>
      </w:pPr>
    </w:p>
    <w:p w14:paraId="1C7CB9CD" w14:textId="7A784885" w:rsidR="00424CA7" w:rsidRPr="00C51ACB" w:rsidRDefault="00424CA7" w:rsidP="004F7DA9">
      <w:pPr>
        <w:rPr>
          <w:rFonts w:ascii="Verdana" w:hAnsi="Verdana"/>
          <w:sz w:val="19"/>
          <w:szCs w:val="19"/>
        </w:rPr>
      </w:pPr>
    </w:p>
    <w:p w14:paraId="7382FF70" w14:textId="29D4AB91" w:rsidR="00424CA7" w:rsidRPr="00C51ACB" w:rsidRDefault="00424CA7" w:rsidP="004F7DA9">
      <w:pPr>
        <w:rPr>
          <w:rFonts w:ascii="Verdana" w:hAnsi="Verdana"/>
          <w:sz w:val="19"/>
          <w:szCs w:val="19"/>
        </w:rPr>
      </w:pPr>
    </w:p>
    <w:p w14:paraId="6F95D380" w14:textId="674491C3" w:rsidR="00424CA7" w:rsidRPr="00C51ACB" w:rsidRDefault="00424CA7" w:rsidP="004F7DA9">
      <w:pPr>
        <w:rPr>
          <w:rFonts w:ascii="Verdana" w:hAnsi="Verdana"/>
          <w:sz w:val="19"/>
          <w:szCs w:val="19"/>
        </w:rPr>
      </w:pPr>
    </w:p>
    <w:p w14:paraId="4C98DF99" w14:textId="3EA39E70" w:rsidR="00424CA7" w:rsidRDefault="00424CA7" w:rsidP="004F7DA9">
      <w:pPr>
        <w:rPr>
          <w:rFonts w:ascii="Verdana" w:hAnsi="Verdana"/>
          <w:sz w:val="19"/>
          <w:szCs w:val="19"/>
        </w:rPr>
      </w:pPr>
    </w:p>
    <w:p w14:paraId="5BD24744" w14:textId="06A66188" w:rsidR="004E6316" w:rsidRDefault="004E6316" w:rsidP="004F7DA9">
      <w:pPr>
        <w:rPr>
          <w:rFonts w:ascii="Verdana" w:hAnsi="Verdana"/>
          <w:sz w:val="19"/>
          <w:szCs w:val="19"/>
        </w:rPr>
      </w:pPr>
    </w:p>
    <w:p w14:paraId="37F858ED" w14:textId="59BC539F" w:rsidR="004E6316" w:rsidRDefault="004E6316" w:rsidP="004F7DA9">
      <w:pPr>
        <w:rPr>
          <w:rFonts w:ascii="Verdana" w:hAnsi="Verdana"/>
          <w:sz w:val="19"/>
          <w:szCs w:val="19"/>
        </w:rPr>
      </w:pPr>
    </w:p>
    <w:p w14:paraId="1EDD2C51" w14:textId="77777777" w:rsidR="004E6316" w:rsidRPr="00C51ACB" w:rsidRDefault="004E6316" w:rsidP="004F7DA9">
      <w:pPr>
        <w:rPr>
          <w:rFonts w:ascii="Verdana" w:hAnsi="Verdana"/>
          <w:sz w:val="19"/>
          <w:szCs w:val="19"/>
        </w:rPr>
      </w:pPr>
    </w:p>
    <w:p w14:paraId="069616E7" w14:textId="77777777" w:rsidR="00424CA7" w:rsidRPr="00C51ACB" w:rsidRDefault="00424CA7" w:rsidP="004F7DA9">
      <w:pPr>
        <w:rPr>
          <w:rFonts w:ascii="Verdana" w:hAnsi="Verdana"/>
          <w:sz w:val="19"/>
          <w:szCs w:val="19"/>
        </w:rPr>
      </w:pPr>
    </w:p>
    <w:p w14:paraId="7E9F730C" w14:textId="75A82924" w:rsidR="00424CA7" w:rsidRPr="00C51ACB" w:rsidRDefault="00424CA7" w:rsidP="004F7DA9">
      <w:pPr>
        <w:rPr>
          <w:rFonts w:ascii="Verdana" w:hAnsi="Verdana" w:cs="Times New Roman"/>
          <w:i/>
          <w:sz w:val="19"/>
          <w:szCs w:val="19"/>
        </w:rPr>
      </w:pPr>
      <w:r w:rsidRPr="00C51ACB">
        <w:rPr>
          <w:rFonts w:ascii="Verdana" w:hAnsi="Verdana" w:cs="Times New Roman"/>
          <w:i/>
          <w:sz w:val="19"/>
          <w:szCs w:val="19"/>
        </w:rPr>
        <w:t xml:space="preserve">Composed of 60 eminent judges and lawyers from all regions of the world, the International Commission of Jurists promotes and protects human rights through the Rule of Law, by using its unique legal expertise to develop and strengthen national and international justice systems. Established in 1952 and active on five continents, the ICJ aims to ensure the progressive development and effective implementation of international human rights and international humanitarian law; secure the realization of civil, cultural, economic, political and social rights; safeguard the separation of powers; and guarantee the independence of the judiciary and legal profession.  </w:t>
      </w:r>
    </w:p>
    <w:p w14:paraId="0376B05E" w14:textId="650439FB" w:rsidR="00424CA7" w:rsidRPr="00C51ACB" w:rsidRDefault="00424CA7" w:rsidP="004F7DA9">
      <w:pPr>
        <w:rPr>
          <w:rFonts w:ascii="Verdana" w:hAnsi="Verdana"/>
          <w:sz w:val="19"/>
          <w:szCs w:val="19"/>
        </w:rPr>
      </w:pPr>
    </w:p>
    <w:p w14:paraId="0F6F8C6D" w14:textId="4F3F4EDA" w:rsidR="004E6316" w:rsidRDefault="00424CA7" w:rsidP="0053738A">
      <w:pPr>
        <w:jc w:val="center"/>
        <w:rPr>
          <w:rFonts w:ascii="Verdana" w:hAnsi="Verdana"/>
          <w:sz w:val="19"/>
          <w:szCs w:val="19"/>
        </w:rPr>
      </w:pPr>
      <w:r w:rsidRPr="00C51ACB">
        <w:rPr>
          <w:rFonts w:ascii="Verdana" w:hAnsi="Verdana"/>
          <w:sz w:val="19"/>
          <w:szCs w:val="19"/>
        </w:rPr>
        <w:t xml:space="preserve">P.O. Box, 91, Rue des Bains, 33, 1211 Geneva 8, Switzerland </w:t>
      </w:r>
      <w:r w:rsidRPr="00C51ACB">
        <w:rPr>
          <w:rFonts w:ascii="Verdana" w:hAnsi="Verdana"/>
          <w:b/>
          <w:sz w:val="19"/>
          <w:szCs w:val="19"/>
        </w:rPr>
        <w:t>Tel</w:t>
      </w:r>
      <w:r w:rsidRPr="00C51ACB">
        <w:rPr>
          <w:rFonts w:ascii="Verdana" w:hAnsi="Verdana"/>
          <w:sz w:val="19"/>
          <w:szCs w:val="19"/>
        </w:rPr>
        <w:t xml:space="preserve">: +41(0) 22 979 3800 – </w:t>
      </w:r>
      <w:r w:rsidRPr="00C51ACB">
        <w:rPr>
          <w:rFonts w:ascii="Verdana" w:hAnsi="Verdana"/>
          <w:b/>
          <w:sz w:val="19"/>
          <w:szCs w:val="19"/>
        </w:rPr>
        <w:t>Fax</w:t>
      </w:r>
      <w:r w:rsidRPr="00C51ACB">
        <w:rPr>
          <w:rFonts w:ascii="Verdana" w:hAnsi="Verdana"/>
          <w:sz w:val="19"/>
          <w:szCs w:val="19"/>
        </w:rPr>
        <w:t xml:space="preserve">: +41(0) 22 979 3801 – </w:t>
      </w:r>
      <w:r w:rsidRPr="00C51ACB">
        <w:rPr>
          <w:rFonts w:ascii="Verdana" w:hAnsi="Verdana"/>
          <w:b/>
          <w:sz w:val="19"/>
          <w:szCs w:val="19"/>
        </w:rPr>
        <w:t>Website</w:t>
      </w:r>
      <w:r w:rsidRPr="00C51ACB">
        <w:rPr>
          <w:rFonts w:ascii="Verdana" w:hAnsi="Verdana"/>
          <w:sz w:val="19"/>
          <w:szCs w:val="19"/>
        </w:rPr>
        <w:t xml:space="preserve">: </w:t>
      </w:r>
      <w:hyperlink r:id="rId11" w:history="1">
        <w:r w:rsidRPr="00C51ACB">
          <w:rPr>
            <w:rStyle w:val="Hyperlink"/>
            <w:rFonts w:ascii="Verdana" w:hAnsi="Verdana"/>
            <w:sz w:val="19"/>
            <w:szCs w:val="19"/>
          </w:rPr>
          <w:t>http://www.icj.org</w:t>
        </w:r>
      </w:hyperlink>
      <w:r w:rsidRPr="00C51ACB">
        <w:rPr>
          <w:rFonts w:ascii="Verdana" w:hAnsi="Verdana"/>
          <w:sz w:val="19"/>
          <w:szCs w:val="19"/>
        </w:rPr>
        <w:t xml:space="preserve"> – </w:t>
      </w:r>
      <w:r w:rsidRPr="00C51ACB">
        <w:rPr>
          <w:rFonts w:ascii="Verdana" w:hAnsi="Verdana"/>
          <w:b/>
          <w:sz w:val="19"/>
          <w:szCs w:val="19"/>
        </w:rPr>
        <w:t>E-mail</w:t>
      </w:r>
      <w:r w:rsidRPr="00C51ACB">
        <w:rPr>
          <w:rFonts w:ascii="Verdana" w:hAnsi="Verdana"/>
          <w:sz w:val="19"/>
          <w:szCs w:val="19"/>
        </w:rPr>
        <w:t xml:space="preserve">: </w:t>
      </w:r>
      <w:hyperlink r:id="rId12" w:history="1">
        <w:r w:rsidRPr="00C51ACB">
          <w:rPr>
            <w:rStyle w:val="Hyperlink"/>
            <w:rFonts w:ascii="Verdana" w:hAnsi="Verdana"/>
            <w:sz w:val="19"/>
            <w:szCs w:val="19"/>
          </w:rPr>
          <w:t>info@icj.org</w:t>
        </w:r>
      </w:hyperlink>
      <w:r w:rsidRPr="00C51ACB">
        <w:rPr>
          <w:rFonts w:ascii="Verdana" w:hAnsi="Verdana"/>
          <w:sz w:val="19"/>
          <w:szCs w:val="19"/>
        </w:rPr>
        <w:t xml:space="preserve"> </w:t>
      </w:r>
      <w:r w:rsidR="004E6316">
        <w:rPr>
          <w:rFonts w:ascii="Verdana" w:hAnsi="Verdana"/>
          <w:sz w:val="19"/>
          <w:szCs w:val="19"/>
        </w:rPr>
        <w:br w:type="page"/>
      </w:r>
    </w:p>
    <w:p w14:paraId="0A23DA51" w14:textId="77777777" w:rsidR="000B2152" w:rsidRPr="000B2152" w:rsidRDefault="000B2152" w:rsidP="000B2152">
      <w:pPr>
        <w:jc w:val="center"/>
        <w:rPr>
          <w:rFonts w:ascii="Times New Roman" w:eastAsia="Times New Roman" w:hAnsi="Times New Roman" w:cs="Times New Roman"/>
          <w:b/>
          <w:sz w:val="20"/>
          <w:szCs w:val="20"/>
        </w:rPr>
      </w:pPr>
      <w:r w:rsidRPr="000B2152">
        <w:rPr>
          <w:rFonts w:ascii="Verdana" w:hAnsi="Verdana" w:cs="Times New Roman"/>
          <w:b/>
          <w:sz w:val="19"/>
          <w:szCs w:val="19"/>
        </w:rPr>
        <w:lastRenderedPageBreak/>
        <w:t xml:space="preserve">INTERNATIONAL COMMISSION OF JURISTS’ </w:t>
      </w:r>
      <w:r>
        <w:rPr>
          <w:rFonts w:ascii="Verdana" w:hAnsi="Verdana" w:cs="Times New Roman"/>
          <w:b/>
          <w:sz w:val="19"/>
          <w:szCs w:val="19"/>
        </w:rPr>
        <w:t>RESPONSE</w:t>
      </w:r>
      <w:r w:rsidRPr="000B2152">
        <w:rPr>
          <w:rFonts w:ascii="Verdana" w:hAnsi="Verdana" w:cs="Times New Roman"/>
          <w:b/>
          <w:sz w:val="19"/>
          <w:szCs w:val="19"/>
        </w:rPr>
        <w:t xml:space="preserve"> TO THE QUE</w:t>
      </w:r>
      <w:r>
        <w:rPr>
          <w:rFonts w:ascii="Verdana" w:hAnsi="Verdana" w:cs="Times New Roman"/>
          <w:b/>
          <w:sz w:val="19"/>
          <w:szCs w:val="19"/>
        </w:rPr>
        <w:t>STIONNAIRE FOR NON-STATE ACTORS OF THE UN</w:t>
      </w:r>
      <w:r w:rsidRPr="000B2152">
        <w:rPr>
          <w:rFonts w:ascii="Verdana" w:hAnsi="Verdana" w:cs="Times New Roman"/>
          <w:b/>
          <w:sz w:val="19"/>
          <w:szCs w:val="19"/>
        </w:rPr>
        <w:t xml:space="preserve"> SPECIAL RAPPORTEUR ON THE HUMAN RIGHTS TO SAFE DRINKING WATER AND SANITATION IN VIEW OF </w:t>
      </w:r>
      <w:r>
        <w:rPr>
          <w:rFonts w:ascii="Verdana" w:hAnsi="Verdana" w:cs="Times New Roman"/>
          <w:b/>
          <w:sz w:val="19"/>
          <w:szCs w:val="19"/>
        </w:rPr>
        <w:t>HIS FORTHCOMING</w:t>
      </w:r>
      <w:r w:rsidRPr="000B2152">
        <w:rPr>
          <w:rFonts w:ascii="Verdana" w:hAnsi="Verdana" w:cs="Times New Roman"/>
          <w:b/>
          <w:sz w:val="19"/>
          <w:szCs w:val="19"/>
        </w:rPr>
        <w:t xml:space="preserve"> REPORT TO THE 2019 HUMAN RIGHTS COUNCIL ON THE HUMAN RIGHTS TO WATER AND SANITATION IN SPHERES OF LIFE BEYOND THE HOUSEHOLD, </w:t>
      </w:r>
      <w:r w:rsidRPr="000B2152">
        <w:rPr>
          <w:rFonts w:ascii="Verdana" w:eastAsia="Times New Roman" w:hAnsi="Verdana" w:cs="Times New Roman"/>
          <w:b/>
          <w:color w:val="000000"/>
          <w:sz w:val="19"/>
          <w:szCs w:val="19"/>
          <w:shd w:val="clear" w:color="auto" w:fill="FFFFFF"/>
        </w:rPr>
        <w:t>IN PARTICULAR IN PUBLIC SPACES</w:t>
      </w:r>
    </w:p>
    <w:p w14:paraId="55610996" w14:textId="3122590C" w:rsidR="00424CA7" w:rsidRPr="00C51ACB" w:rsidRDefault="00424CA7" w:rsidP="00C51ACB">
      <w:pPr>
        <w:rPr>
          <w:rFonts w:ascii="Verdana" w:hAnsi="Verdana"/>
          <w:b/>
          <w:sz w:val="19"/>
          <w:szCs w:val="19"/>
        </w:rPr>
      </w:pPr>
      <w:r w:rsidRPr="00C51ACB">
        <w:rPr>
          <w:rFonts w:ascii="Verdana" w:hAnsi="Verdana"/>
          <w:b/>
          <w:sz w:val="19"/>
          <w:szCs w:val="19"/>
        </w:rPr>
        <w:t>Introduction</w:t>
      </w:r>
    </w:p>
    <w:p w14:paraId="76D19F63" w14:textId="44C3F8E0" w:rsidR="005C42BF" w:rsidRPr="00C51ACB" w:rsidRDefault="005C42BF" w:rsidP="00FB13F5">
      <w:pPr>
        <w:spacing w:line="240" w:lineRule="auto"/>
        <w:rPr>
          <w:rFonts w:ascii="Verdana" w:hAnsi="Verdana"/>
          <w:sz w:val="19"/>
          <w:szCs w:val="19"/>
        </w:rPr>
      </w:pPr>
      <w:r w:rsidRPr="00C51ACB">
        <w:rPr>
          <w:rFonts w:ascii="Verdana" w:hAnsi="Verdana"/>
          <w:sz w:val="19"/>
          <w:szCs w:val="19"/>
        </w:rPr>
        <w:t xml:space="preserve">The International Commission of Jurists (ICJ) welcomes the opportunity to respond to the questionnaire </w:t>
      </w:r>
      <w:r w:rsidR="00C46FF6">
        <w:rPr>
          <w:rFonts w:ascii="Verdana" w:hAnsi="Verdana"/>
          <w:sz w:val="19"/>
          <w:szCs w:val="19"/>
        </w:rPr>
        <w:t xml:space="preserve">for non-State actors </w:t>
      </w:r>
      <w:r w:rsidRPr="00C51ACB">
        <w:rPr>
          <w:rFonts w:ascii="Verdana" w:hAnsi="Verdana"/>
          <w:sz w:val="19"/>
          <w:szCs w:val="19"/>
        </w:rPr>
        <w:t>on access to water and sanitation in public spaces put forth by Mr. Léo Heller, the United Nations Special Rapporteur on the human rights to water and sanitation (</w:t>
      </w:r>
      <w:r w:rsidR="00691044" w:rsidRPr="00C51ACB">
        <w:rPr>
          <w:rFonts w:ascii="Verdana" w:hAnsi="Verdana"/>
          <w:sz w:val="19"/>
          <w:szCs w:val="19"/>
        </w:rPr>
        <w:t>“</w:t>
      </w:r>
      <w:r w:rsidRPr="00C51ACB">
        <w:rPr>
          <w:rFonts w:ascii="Verdana" w:hAnsi="Verdana"/>
          <w:sz w:val="19"/>
          <w:szCs w:val="19"/>
        </w:rPr>
        <w:t>Special Rapporteur</w:t>
      </w:r>
      <w:r w:rsidR="00691044" w:rsidRPr="00C51ACB">
        <w:rPr>
          <w:rFonts w:ascii="Verdana" w:hAnsi="Verdana"/>
          <w:sz w:val="19"/>
          <w:szCs w:val="19"/>
        </w:rPr>
        <w:t>”</w:t>
      </w:r>
      <w:r w:rsidRPr="00C51ACB">
        <w:rPr>
          <w:rFonts w:ascii="Verdana" w:hAnsi="Verdana"/>
          <w:sz w:val="19"/>
          <w:szCs w:val="19"/>
        </w:rPr>
        <w:t>)</w:t>
      </w:r>
      <w:r w:rsidR="00C46FF6">
        <w:rPr>
          <w:rFonts w:ascii="Verdana" w:hAnsi="Verdana"/>
          <w:sz w:val="19"/>
          <w:szCs w:val="19"/>
        </w:rPr>
        <w:t xml:space="preserve">; the organization hopes that the present response will assist the Special Rapporteur in the preparation of </w:t>
      </w:r>
      <w:r w:rsidR="00C46FF6" w:rsidRPr="00C46FF6">
        <w:rPr>
          <w:rFonts w:ascii="Verdana" w:hAnsi="Verdana"/>
          <w:sz w:val="19"/>
          <w:szCs w:val="19"/>
        </w:rPr>
        <w:t>his 2019 Human Rights Council report on the human rights to water and sanitation in spheres of life beyond the households, in particular in public spaces</w:t>
      </w:r>
      <w:r w:rsidRPr="00C51ACB">
        <w:rPr>
          <w:rFonts w:ascii="Verdana" w:hAnsi="Verdana"/>
          <w:sz w:val="19"/>
          <w:szCs w:val="19"/>
        </w:rPr>
        <w:t xml:space="preserve">. </w:t>
      </w:r>
    </w:p>
    <w:p w14:paraId="353D285D" w14:textId="79E185FB" w:rsidR="009D7BFF" w:rsidRPr="00C51ACB" w:rsidRDefault="00691044" w:rsidP="00FB13F5">
      <w:pPr>
        <w:spacing w:line="240" w:lineRule="auto"/>
        <w:rPr>
          <w:rFonts w:ascii="Verdana" w:hAnsi="Verdana"/>
          <w:sz w:val="19"/>
          <w:szCs w:val="19"/>
        </w:rPr>
      </w:pPr>
      <w:r w:rsidRPr="00C51ACB">
        <w:rPr>
          <w:rFonts w:ascii="Verdana" w:hAnsi="Verdana"/>
          <w:sz w:val="19"/>
          <w:szCs w:val="19"/>
        </w:rPr>
        <w:t>The</w:t>
      </w:r>
      <w:r w:rsidR="005C42BF" w:rsidRPr="00C51ACB">
        <w:rPr>
          <w:rFonts w:ascii="Verdana" w:hAnsi="Verdana"/>
          <w:sz w:val="19"/>
          <w:szCs w:val="19"/>
        </w:rPr>
        <w:t xml:space="preserve"> ICJ’s submission focus</w:t>
      </w:r>
      <w:r w:rsidR="00C46FF6">
        <w:rPr>
          <w:rFonts w:ascii="Verdana" w:hAnsi="Verdana"/>
          <w:sz w:val="19"/>
          <w:szCs w:val="19"/>
        </w:rPr>
        <w:t>es</w:t>
      </w:r>
      <w:r w:rsidR="005C42BF" w:rsidRPr="00C51ACB">
        <w:rPr>
          <w:rFonts w:ascii="Verdana" w:hAnsi="Verdana"/>
          <w:sz w:val="19"/>
          <w:szCs w:val="19"/>
        </w:rPr>
        <w:t xml:space="preserve"> on </w:t>
      </w:r>
      <w:r w:rsidR="005C42BF" w:rsidRPr="00C51ACB">
        <w:rPr>
          <w:rFonts w:ascii="Verdana" w:eastAsia="Times New Roman" w:hAnsi="Verdana" w:cs="Times New Roman"/>
          <w:color w:val="000000"/>
          <w:sz w:val="19"/>
          <w:szCs w:val="19"/>
          <w:shd w:val="clear" w:color="auto" w:fill="FFFFFF"/>
        </w:rPr>
        <w:t xml:space="preserve">the status and the impact of inadequate access to water and sanitation on </w:t>
      </w:r>
      <w:r w:rsidR="00C46FF6">
        <w:rPr>
          <w:rFonts w:ascii="Verdana" w:eastAsia="Times New Roman" w:hAnsi="Verdana" w:cs="Times New Roman"/>
          <w:color w:val="000000"/>
          <w:sz w:val="19"/>
          <w:szCs w:val="19"/>
          <w:shd w:val="clear" w:color="auto" w:fill="FFFFFF"/>
        </w:rPr>
        <w:t>lesbian, gay, bisexual, transgender and queer individuals (LGBTQ)</w:t>
      </w:r>
      <w:r w:rsidR="006837B9" w:rsidRPr="00C51ACB">
        <w:rPr>
          <w:rFonts w:ascii="Verdana" w:eastAsia="Times New Roman" w:hAnsi="Verdana" w:cs="Times New Roman"/>
          <w:color w:val="000000"/>
          <w:sz w:val="19"/>
          <w:szCs w:val="19"/>
          <w:shd w:val="clear" w:color="auto" w:fill="FFFFFF"/>
        </w:rPr>
        <w:t>,</w:t>
      </w:r>
      <w:r w:rsidR="00E12E73">
        <w:rPr>
          <w:rStyle w:val="FootnoteReference"/>
          <w:rFonts w:ascii="Verdana" w:eastAsia="Times New Roman" w:hAnsi="Verdana" w:cs="Times New Roman"/>
          <w:color w:val="000000"/>
          <w:sz w:val="19"/>
          <w:szCs w:val="19"/>
          <w:shd w:val="clear" w:color="auto" w:fill="FFFFFF"/>
        </w:rPr>
        <w:footnoteReference w:id="1"/>
      </w:r>
      <w:r w:rsidR="006837B9" w:rsidRPr="00C51ACB">
        <w:rPr>
          <w:rFonts w:ascii="Verdana" w:eastAsia="Times New Roman" w:hAnsi="Verdana" w:cs="Times New Roman"/>
          <w:color w:val="000000"/>
          <w:sz w:val="19"/>
          <w:szCs w:val="19"/>
          <w:shd w:val="clear" w:color="auto" w:fill="FFFFFF"/>
        </w:rPr>
        <w:t xml:space="preserve"> </w:t>
      </w:r>
      <w:r w:rsidRPr="00C51ACB">
        <w:rPr>
          <w:rFonts w:ascii="Verdana" w:eastAsia="Times New Roman" w:hAnsi="Verdana" w:cs="Times New Roman"/>
          <w:color w:val="000000"/>
          <w:sz w:val="19"/>
          <w:szCs w:val="19"/>
          <w:shd w:val="clear" w:color="auto" w:fill="FFFFFF"/>
        </w:rPr>
        <w:t>and more s</w:t>
      </w:r>
      <w:r w:rsidRPr="00C51ACB">
        <w:rPr>
          <w:rFonts w:ascii="Verdana" w:hAnsi="Verdana"/>
          <w:sz w:val="19"/>
          <w:szCs w:val="19"/>
        </w:rPr>
        <w:t>pecifically</w:t>
      </w:r>
      <w:r w:rsidR="006837B9" w:rsidRPr="00C51ACB">
        <w:rPr>
          <w:rFonts w:ascii="Verdana" w:eastAsia="Times New Roman" w:hAnsi="Verdana" w:cs="Times New Roman"/>
          <w:color w:val="000000"/>
          <w:sz w:val="19"/>
          <w:szCs w:val="19"/>
          <w:shd w:val="clear" w:color="auto" w:fill="FFFFFF"/>
        </w:rPr>
        <w:t xml:space="preserve"> on transgender</w:t>
      </w:r>
      <w:r w:rsidR="005C42BF" w:rsidRPr="00C51ACB">
        <w:rPr>
          <w:rFonts w:ascii="Verdana" w:eastAsia="Times New Roman" w:hAnsi="Verdana" w:cs="Times New Roman"/>
          <w:color w:val="000000"/>
          <w:sz w:val="19"/>
          <w:szCs w:val="19"/>
          <w:shd w:val="clear" w:color="auto" w:fill="FFFFFF"/>
        </w:rPr>
        <w:t xml:space="preserve"> </w:t>
      </w:r>
      <w:r w:rsidR="00965514">
        <w:rPr>
          <w:rFonts w:ascii="Verdana" w:eastAsia="Times New Roman" w:hAnsi="Verdana" w:cs="Times New Roman"/>
          <w:color w:val="000000"/>
          <w:sz w:val="19"/>
          <w:szCs w:val="19"/>
          <w:shd w:val="clear" w:color="auto" w:fill="FFFFFF"/>
        </w:rPr>
        <w:t xml:space="preserve">persons </w:t>
      </w:r>
      <w:r w:rsidR="006837B9" w:rsidRPr="00C51ACB">
        <w:rPr>
          <w:rFonts w:ascii="Verdana" w:eastAsia="Times New Roman" w:hAnsi="Verdana" w:cs="Times New Roman"/>
          <w:color w:val="000000"/>
          <w:sz w:val="19"/>
          <w:szCs w:val="19"/>
          <w:shd w:val="clear" w:color="auto" w:fill="FFFFFF"/>
        </w:rPr>
        <w:t>and</w:t>
      </w:r>
      <w:r w:rsidR="00965514">
        <w:rPr>
          <w:rFonts w:ascii="Verdana" w:eastAsia="Times New Roman" w:hAnsi="Verdana" w:cs="Times New Roman"/>
          <w:color w:val="000000"/>
          <w:sz w:val="19"/>
          <w:szCs w:val="19"/>
          <w:shd w:val="clear" w:color="auto" w:fill="FFFFFF"/>
        </w:rPr>
        <w:t xml:space="preserve"> </w:t>
      </w:r>
      <w:r w:rsidR="00077D25" w:rsidRPr="00662C33">
        <w:rPr>
          <w:rFonts w:ascii="Verdana" w:eastAsia="Times New Roman" w:hAnsi="Verdana" w:cs="Times New Roman"/>
          <w:color w:val="000000"/>
          <w:sz w:val="19"/>
          <w:szCs w:val="19"/>
          <w:shd w:val="clear" w:color="auto" w:fill="FFFFFF"/>
        </w:rPr>
        <w:t>non-binary</w:t>
      </w:r>
      <w:r w:rsidR="006837B9" w:rsidRPr="00C51ACB">
        <w:rPr>
          <w:rFonts w:ascii="Verdana" w:eastAsia="Times New Roman" w:hAnsi="Verdana" w:cs="Times New Roman"/>
          <w:color w:val="000000"/>
          <w:sz w:val="19"/>
          <w:szCs w:val="19"/>
          <w:shd w:val="clear" w:color="auto" w:fill="FFFFFF"/>
        </w:rPr>
        <w:t xml:space="preserve"> persons</w:t>
      </w:r>
      <w:r w:rsidR="005C42BF" w:rsidRPr="00C51ACB">
        <w:rPr>
          <w:rFonts w:ascii="Verdana" w:eastAsia="Times New Roman" w:hAnsi="Verdana" w:cs="Times New Roman"/>
          <w:color w:val="000000"/>
          <w:sz w:val="19"/>
          <w:szCs w:val="19"/>
          <w:shd w:val="clear" w:color="auto" w:fill="FFFFFF"/>
        </w:rPr>
        <w:t>,</w:t>
      </w:r>
      <w:r w:rsidR="006837B9" w:rsidRPr="00C51ACB">
        <w:rPr>
          <w:rStyle w:val="FootnoteReference"/>
          <w:rFonts w:ascii="Verdana" w:eastAsia="Times New Roman" w:hAnsi="Verdana" w:cs="Times New Roman"/>
          <w:color w:val="000000"/>
          <w:sz w:val="19"/>
          <w:szCs w:val="19"/>
          <w:shd w:val="clear" w:color="auto" w:fill="FFFFFF"/>
        </w:rPr>
        <w:footnoteReference w:id="2"/>
      </w:r>
      <w:r w:rsidR="005C42BF" w:rsidRPr="00C51ACB">
        <w:rPr>
          <w:rFonts w:ascii="Verdana" w:eastAsia="Times New Roman" w:hAnsi="Verdana" w:cs="Times New Roman"/>
          <w:color w:val="000000"/>
          <w:sz w:val="19"/>
          <w:szCs w:val="19"/>
          <w:shd w:val="clear" w:color="auto" w:fill="FFFFFF"/>
        </w:rPr>
        <w:t xml:space="preserve"> </w:t>
      </w:r>
      <w:r w:rsidR="00C46FF6">
        <w:rPr>
          <w:rFonts w:ascii="Verdana" w:eastAsia="Times New Roman" w:hAnsi="Verdana" w:cs="Times New Roman"/>
          <w:color w:val="000000"/>
          <w:sz w:val="19"/>
          <w:szCs w:val="19"/>
          <w:shd w:val="clear" w:color="auto" w:fill="FFFFFF"/>
        </w:rPr>
        <w:t>who</w:t>
      </w:r>
      <w:r w:rsidR="00C46FF6" w:rsidRPr="00C51ACB">
        <w:rPr>
          <w:rFonts w:ascii="Verdana" w:eastAsia="Times New Roman" w:hAnsi="Verdana" w:cs="Times New Roman"/>
          <w:color w:val="000000"/>
          <w:sz w:val="19"/>
          <w:szCs w:val="19"/>
          <w:shd w:val="clear" w:color="auto" w:fill="FFFFFF"/>
        </w:rPr>
        <w:t xml:space="preserve"> </w:t>
      </w:r>
      <w:r w:rsidR="00C46FF6">
        <w:rPr>
          <w:rFonts w:ascii="Verdana" w:eastAsia="Times New Roman" w:hAnsi="Verdana" w:cs="Times New Roman"/>
          <w:color w:val="000000"/>
          <w:sz w:val="19"/>
          <w:szCs w:val="19"/>
          <w:shd w:val="clear" w:color="auto" w:fill="FFFFFF"/>
        </w:rPr>
        <w:t xml:space="preserve">are among those on whom </w:t>
      </w:r>
      <w:r w:rsidR="005C42BF" w:rsidRPr="00C51ACB">
        <w:rPr>
          <w:rFonts w:ascii="Verdana" w:eastAsia="Times New Roman" w:hAnsi="Verdana" w:cs="Times New Roman"/>
          <w:color w:val="000000"/>
          <w:sz w:val="19"/>
          <w:szCs w:val="19"/>
          <w:shd w:val="clear" w:color="auto" w:fill="FFFFFF"/>
        </w:rPr>
        <w:t>the UN Special Rapporteur</w:t>
      </w:r>
      <w:r w:rsidR="00C46FF6">
        <w:rPr>
          <w:rFonts w:ascii="Verdana" w:eastAsia="Times New Roman" w:hAnsi="Verdana" w:cs="Times New Roman"/>
          <w:color w:val="000000"/>
          <w:sz w:val="19"/>
          <w:szCs w:val="19"/>
          <w:shd w:val="clear" w:color="auto" w:fill="FFFFFF"/>
        </w:rPr>
        <w:t xml:space="preserve"> intends to focus in his upcoming report</w:t>
      </w:r>
      <w:r w:rsidR="005C42BF" w:rsidRPr="00C51ACB">
        <w:rPr>
          <w:rFonts w:ascii="Verdana" w:eastAsia="Times New Roman" w:hAnsi="Verdana" w:cs="Times New Roman"/>
          <w:color w:val="000000"/>
          <w:sz w:val="19"/>
          <w:szCs w:val="19"/>
          <w:shd w:val="clear" w:color="auto" w:fill="FFFFFF"/>
        </w:rPr>
        <w:t>.</w:t>
      </w:r>
      <w:r w:rsidRPr="00C51ACB">
        <w:rPr>
          <w:rFonts w:ascii="Verdana" w:eastAsia="Times New Roman" w:hAnsi="Verdana" w:cs="Times New Roman"/>
          <w:color w:val="000000"/>
          <w:sz w:val="19"/>
          <w:szCs w:val="19"/>
          <w:shd w:val="clear" w:color="auto" w:fill="FFFFFF"/>
        </w:rPr>
        <w:t xml:space="preserve"> The submission draws on the ICJ’s ongoing work on the human rights of LGBT</w:t>
      </w:r>
      <w:r w:rsidR="00965514">
        <w:rPr>
          <w:rFonts w:ascii="Verdana" w:eastAsia="Times New Roman" w:hAnsi="Verdana" w:cs="Times New Roman"/>
          <w:color w:val="000000"/>
          <w:sz w:val="19"/>
          <w:szCs w:val="19"/>
          <w:shd w:val="clear" w:color="auto" w:fill="FFFFFF"/>
        </w:rPr>
        <w:t>Q</w:t>
      </w:r>
      <w:r w:rsidRPr="00C51ACB">
        <w:rPr>
          <w:rFonts w:ascii="Verdana" w:eastAsia="Times New Roman" w:hAnsi="Verdana" w:cs="Times New Roman"/>
          <w:color w:val="000000"/>
          <w:sz w:val="19"/>
          <w:szCs w:val="19"/>
          <w:shd w:val="clear" w:color="auto" w:fill="FFFFFF"/>
        </w:rPr>
        <w:t xml:space="preserve"> </w:t>
      </w:r>
      <w:r w:rsidRPr="00C51ACB">
        <w:rPr>
          <w:rFonts w:ascii="Verdana" w:hAnsi="Verdana"/>
          <w:sz w:val="19"/>
          <w:szCs w:val="19"/>
        </w:rPr>
        <w:t xml:space="preserve">persons in India. </w:t>
      </w:r>
    </w:p>
    <w:p w14:paraId="48CB3EED" w14:textId="37A1D321" w:rsidR="004F1660" w:rsidRPr="00C51ACB" w:rsidRDefault="00EF0A1C" w:rsidP="00C51ACB">
      <w:pPr>
        <w:pStyle w:val="ListParagraph"/>
        <w:numPr>
          <w:ilvl w:val="0"/>
          <w:numId w:val="33"/>
        </w:numPr>
        <w:spacing w:line="240" w:lineRule="auto"/>
        <w:rPr>
          <w:rFonts w:ascii="Verdana" w:hAnsi="Verdana" w:cs="Arial"/>
          <w:b/>
          <w:sz w:val="19"/>
          <w:szCs w:val="19"/>
        </w:rPr>
      </w:pPr>
      <w:r w:rsidRPr="00C51ACB">
        <w:rPr>
          <w:rFonts w:ascii="Verdana" w:hAnsi="Verdana" w:cs="Arial"/>
          <w:b/>
          <w:sz w:val="19"/>
          <w:szCs w:val="19"/>
        </w:rPr>
        <w:t xml:space="preserve">Please outline your organisation’s purpose, target populations, and methods of achieving your stated aims. </w:t>
      </w:r>
    </w:p>
    <w:p w14:paraId="2A24B22B" w14:textId="22D8FDE6" w:rsidR="00150A50" w:rsidRPr="00C51ACB" w:rsidRDefault="00150A50" w:rsidP="00FB13F5">
      <w:pPr>
        <w:spacing w:line="240" w:lineRule="auto"/>
        <w:rPr>
          <w:rFonts w:ascii="Verdana" w:hAnsi="Verdana"/>
          <w:i/>
          <w:sz w:val="19"/>
          <w:szCs w:val="19"/>
        </w:rPr>
      </w:pPr>
      <w:r w:rsidRPr="00C51ACB">
        <w:rPr>
          <w:rFonts w:ascii="Verdana" w:hAnsi="Verdana"/>
          <w:i/>
          <w:sz w:val="19"/>
          <w:szCs w:val="19"/>
        </w:rPr>
        <w:t xml:space="preserve">Target Populations </w:t>
      </w:r>
      <w:r w:rsidR="004E6316">
        <w:rPr>
          <w:rFonts w:ascii="Verdana" w:hAnsi="Verdana"/>
          <w:i/>
          <w:sz w:val="19"/>
          <w:szCs w:val="19"/>
        </w:rPr>
        <w:t>and Methods</w:t>
      </w:r>
    </w:p>
    <w:p w14:paraId="44D8FA92" w14:textId="6DA513DF" w:rsidR="00150A50" w:rsidRPr="00C51ACB" w:rsidRDefault="00691044" w:rsidP="00FB13F5">
      <w:pPr>
        <w:spacing w:line="240" w:lineRule="auto"/>
        <w:rPr>
          <w:rFonts w:ascii="Verdana" w:hAnsi="Verdana"/>
          <w:sz w:val="19"/>
          <w:szCs w:val="19"/>
        </w:rPr>
      </w:pPr>
      <w:r w:rsidRPr="00C51ACB">
        <w:rPr>
          <w:rFonts w:ascii="Verdana" w:hAnsi="Verdana"/>
          <w:sz w:val="19"/>
          <w:szCs w:val="19"/>
        </w:rPr>
        <w:t>Between</w:t>
      </w:r>
      <w:r w:rsidR="00E422E8" w:rsidRPr="00C51ACB">
        <w:rPr>
          <w:rFonts w:ascii="Verdana" w:hAnsi="Verdana"/>
          <w:sz w:val="19"/>
          <w:szCs w:val="19"/>
        </w:rPr>
        <w:t xml:space="preserve"> 2015-2017 </w:t>
      </w:r>
      <w:r w:rsidRPr="00C51ACB">
        <w:rPr>
          <w:rFonts w:ascii="Verdana" w:hAnsi="Verdana"/>
          <w:sz w:val="19"/>
          <w:szCs w:val="19"/>
        </w:rPr>
        <w:t xml:space="preserve">the ICJ </w:t>
      </w:r>
      <w:r w:rsidR="00B00B07" w:rsidRPr="00C51ACB">
        <w:rPr>
          <w:rFonts w:ascii="Verdana" w:hAnsi="Verdana"/>
          <w:sz w:val="19"/>
          <w:szCs w:val="19"/>
        </w:rPr>
        <w:t xml:space="preserve">documented </w:t>
      </w:r>
      <w:r w:rsidR="00E422E8" w:rsidRPr="00C51ACB">
        <w:rPr>
          <w:rFonts w:ascii="Verdana" w:hAnsi="Verdana"/>
          <w:sz w:val="19"/>
          <w:szCs w:val="19"/>
        </w:rPr>
        <w:t>civil and political rights</w:t>
      </w:r>
      <w:r w:rsidR="00B00B07" w:rsidRPr="00C51ACB">
        <w:rPr>
          <w:rFonts w:ascii="Verdana" w:hAnsi="Verdana"/>
          <w:sz w:val="19"/>
          <w:szCs w:val="19"/>
        </w:rPr>
        <w:t xml:space="preserve"> violations </w:t>
      </w:r>
      <w:r w:rsidR="00E422E8" w:rsidRPr="00C51ACB">
        <w:rPr>
          <w:rFonts w:ascii="Verdana" w:hAnsi="Verdana"/>
          <w:sz w:val="19"/>
          <w:szCs w:val="19"/>
        </w:rPr>
        <w:t xml:space="preserve">faced by </w:t>
      </w:r>
      <w:r w:rsidR="00F96C74" w:rsidRPr="00C51ACB">
        <w:rPr>
          <w:rFonts w:ascii="Verdana" w:hAnsi="Verdana"/>
          <w:sz w:val="19"/>
          <w:szCs w:val="19"/>
        </w:rPr>
        <w:t>lesbian, gay, bisexual, transgender</w:t>
      </w:r>
      <w:r w:rsidR="00241674">
        <w:rPr>
          <w:rFonts w:ascii="Verdana" w:hAnsi="Verdana"/>
          <w:sz w:val="19"/>
          <w:szCs w:val="19"/>
        </w:rPr>
        <w:t>, and gender-queer</w:t>
      </w:r>
      <w:r w:rsidR="00F96C74" w:rsidRPr="00C51ACB">
        <w:rPr>
          <w:rFonts w:ascii="Verdana" w:hAnsi="Verdana"/>
          <w:sz w:val="19"/>
          <w:szCs w:val="19"/>
        </w:rPr>
        <w:t xml:space="preserve"> (LGBT</w:t>
      </w:r>
      <w:r w:rsidR="00241674">
        <w:rPr>
          <w:rFonts w:ascii="Verdana" w:hAnsi="Verdana"/>
          <w:sz w:val="19"/>
          <w:szCs w:val="19"/>
        </w:rPr>
        <w:t>Q</w:t>
      </w:r>
      <w:r w:rsidR="00F96C74" w:rsidRPr="00C51ACB">
        <w:rPr>
          <w:rFonts w:ascii="Verdana" w:hAnsi="Verdana"/>
          <w:sz w:val="19"/>
          <w:szCs w:val="19"/>
        </w:rPr>
        <w:t>)</w:t>
      </w:r>
      <w:r w:rsidR="00B00B07" w:rsidRPr="00C51ACB">
        <w:rPr>
          <w:rFonts w:ascii="Verdana" w:hAnsi="Verdana"/>
          <w:sz w:val="19"/>
          <w:szCs w:val="19"/>
        </w:rPr>
        <w:t xml:space="preserve"> persons in India</w:t>
      </w:r>
      <w:r w:rsidRPr="00C51ACB">
        <w:rPr>
          <w:rFonts w:ascii="Verdana" w:hAnsi="Verdana"/>
          <w:sz w:val="19"/>
          <w:szCs w:val="19"/>
        </w:rPr>
        <w:t>. Such abuses</w:t>
      </w:r>
      <w:r w:rsidR="00150A50" w:rsidRPr="00C51ACB">
        <w:rPr>
          <w:rFonts w:ascii="Verdana" w:hAnsi="Verdana"/>
          <w:sz w:val="19"/>
          <w:szCs w:val="19"/>
        </w:rPr>
        <w:t xml:space="preserve"> </w:t>
      </w:r>
      <w:r w:rsidRPr="00C51ACB">
        <w:rPr>
          <w:rFonts w:ascii="Verdana" w:hAnsi="Verdana"/>
          <w:sz w:val="19"/>
          <w:szCs w:val="19"/>
        </w:rPr>
        <w:t xml:space="preserve">resulted from actions of </w:t>
      </w:r>
      <w:r w:rsidR="00C46FF6">
        <w:rPr>
          <w:rFonts w:ascii="Verdana" w:hAnsi="Verdana"/>
          <w:sz w:val="19"/>
          <w:szCs w:val="19"/>
        </w:rPr>
        <w:t>S</w:t>
      </w:r>
      <w:r w:rsidR="00E422E8" w:rsidRPr="00C51ACB">
        <w:rPr>
          <w:rFonts w:ascii="Verdana" w:hAnsi="Verdana"/>
          <w:sz w:val="19"/>
          <w:szCs w:val="19"/>
        </w:rPr>
        <w:t xml:space="preserve">tate actors </w:t>
      </w:r>
      <w:r w:rsidRPr="00C51ACB">
        <w:rPr>
          <w:rFonts w:ascii="Verdana" w:hAnsi="Verdana"/>
          <w:sz w:val="19"/>
          <w:szCs w:val="19"/>
        </w:rPr>
        <w:t>(</w:t>
      </w:r>
      <w:r w:rsidR="00E422E8" w:rsidRPr="00C51ACB">
        <w:rPr>
          <w:rFonts w:ascii="Verdana" w:hAnsi="Verdana"/>
          <w:sz w:val="19"/>
          <w:szCs w:val="19"/>
        </w:rPr>
        <w:t>including police officials, judges, public prosecutors</w:t>
      </w:r>
      <w:r w:rsidRPr="00C51ACB">
        <w:rPr>
          <w:rFonts w:ascii="Verdana" w:hAnsi="Verdana"/>
          <w:sz w:val="19"/>
          <w:szCs w:val="19"/>
        </w:rPr>
        <w:t>)</w:t>
      </w:r>
      <w:r w:rsidR="00E422E8" w:rsidRPr="00C51ACB">
        <w:rPr>
          <w:rFonts w:ascii="Verdana" w:hAnsi="Verdana"/>
          <w:sz w:val="19"/>
          <w:szCs w:val="19"/>
        </w:rPr>
        <w:t xml:space="preserve"> and non-</w:t>
      </w:r>
      <w:r w:rsidR="00C46FF6">
        <w:rPr>
          <w:rFonts w:ascii="Verdana" w:hAnsi="Verdana"/>
          <w:sz w:val="19"/>
          <w:szCs w:val="19"/>
        </w:rPr>
        <w:t>S</w:t>
      </w:r>
      <w:r w:rsidR="00E422E8" w:rsidRPr="00C51ACB">
        <w:rPr>
          <w:rFonts w:ascii="Verdana" w:hAnsi="Verdana"/>
          <w:sz w:val="19"/>
          <w:szCs w:val="19"/>
        </w:rPr>
        <w:t>ta</w:t>
      </w:r>
      <w:r w:rsidR="00150A50" w:rsidRPr="00C51ACB">
        <w:rPr>
          <w:rFonts w:ascii="Verdana" w:hAnsi="Verdana"/>
          <w:sz w:val="19"/>
          <w:szCs w:val="19"/>
        </w:rPr>
        <w:t xml:space="preserve">te actors </w:t>
      </w:r>
      <w:r w:rsidRPr="00C51ACB">
        <w:rPr>
          <w:rFonts w:ascii="Verdana" w:hAnsi="Verdana"/>
          <w:sz w:val="19"/>
          <w:szCs w:val="19"/>
        </w:rPr>
        <w:t>(</w:t>
      </w:r>
      <w:r w:rsidR="00150A50" w:rsidRPr="00C51ACB">
        <w:rPr>
          <w:rFonts w:ascii="Verdana" w:hAnsi="Verdana"/>
          <w:sz w:val="19"/>
          <w:szCs w:val="19"/>
        </w:rPr>
        <w:t xml:space="preserve">including </w:t>
      </w:r>
      <w:r w:rsidR="00E422E8" w:rsidRPr="00C51ACB">
        <w:rPr>
          <w:rFonts w:ascii="Verdana" w:hAnsi="Verdana"/>
          <w:sz w:val="19"/>
          <w:szCs w:val="19"/>
        </w:rPr>
        <w:t>family and other community members</w:t>
      </w:r>
      <w:r w:rsidRPr="00C51ACB">
        <w:rPr>
          <w:rFonts w:ascii="Verdana" w:hAnsi="Verdana"/>
          <w:sz w:val="19"/>
          <w:szCs w:val="19"/>
        </w:rPr>
        <w:t>)</w:t>
      </w:r>
      <w:r w:rsidR="005C42BF" w:rsidRPr="00C51ACB">
        <w:rPr>
          <w:rFonts w:ascii="Verdana" w:hAnsi="Verdana"/>
          <w:sz w:val="19"/>
          <w:szCs w:val="19"/>
        </w:rPr>
        <w:t xml:space="preserve">. ICJ’s research </w:t>
      </w:r>
      <w:r w:rsidRPr="00C51ACB">
        <w:rPr>
          <w:rFonts w:ascii="Verdana" w:hAnsi="Verdana"/>
          <w:sz w:val="19"/>
          <w:szCs w:val="19"/>
        </w:rPr>
        <w:t xml:space="preserve">in this regard </w:t>
      </w:r>
      <w:r w:rsidR="005C42BF" w:rsidRPr="00C51ACB">
        <w:rPr>
          <w:rFonts w:ascii="Verdana" w:hAnsi="Verdana"/>
          <w:sz w:val="19"/>
          <w:szCs w:val="19"/>
        </w:rPr>
        <w:t>was</w:t>
      </w:r>
      <w:r w:rsidR="00E422E8" w:rsidRPr="00C51ACB">
        <w:rPr>
          <w:rFonts w:ascii="Verdana" w:hAnsi="Verdana"/>
          <w:sz w:val="19"/>
          <w:szCs w:val="19"/>
        </w:rPr>
        <w:t xml:space="preserve"> </w:t>
      </w:r>
      <w:r w:rsidR="00150A50" w:rsidRPr="00C51ACB">
        <w:rPr>
          <w:rFonts w:ascii="Verdana" w:hAnsi="Verdana"/>
          <w:sz w:val="19"/>
          <w:szCs w:val="19"/>
        </w:rPr>
        <w:t xml:space="preserve">based on primary data </w:t>
      </w:r>
      <w:r w:rsidR="005C42BF" w:rsidRPr="00C51ACB">
        <w:rPr>
          <w:rFonts w:ascii="Verdana" w:hAnsi="Verdana"/>
          <w:sz w:val="19"/>
          <w:szCs w:val="19"/>
        </w:rPr>
        <w:t xml:space="preserve">collected from </w:t>
      </w:r>
      <w:r w:rsidR="00150A50" w:rsidRPr="00C51ACB">
        <w:rPr>
          <w:rFonts w:ascii="Verdana" w:hAnsi="Verdana"/>
          <w:sz w:val="19"/>
          <w:szCs w:val="19"/>
        </w:rPr>
        <w:t xml:space="preserve">150 interviews </w:t>
      </w:r>
      <w:r w:rsidR="00C46FF6">
        <w:rPr>
          <w:rFonts w:ascii="Verdana" w:hAnsi="Verdana"/>
          <w:sz w:val="19"/>
          <w:szCs w:val="19"/>
        </w:rPr>
        <w:t>with</w:t>
      </w:r>
      <w:r w:rsidR="00C46FF6" w:rsidRPr="00C51ACB">
        <w:rPr>
          <w:rFonts w:ascii="Verdana" w:hAnsi="Verdana"/>
          <w:sz w:val="19"/>
          <w:szCs w:val="19"/>
        </w:rPr>
        <w:t xml:space="preserve"> </w:t>
      </w:r>
      <w:r w:rsidR="00150A50" w:rsidRPr="00C51ACB">
        <w:rPr>
          <w:rFonts w:ascii="Verdana" w:hAnsi="Verdana"/>
          <w:sz w:val="19"/>
          <w:szCs w:val="19"/>
        </w:rPr>
        <w:t>LGBT</w:t>
      </w:r>
      <w:r w:rsidR="00241674">
        <w:rPr>
          <w:rFonts w:ascii="Verdana" w:hAnsi="Verdana"/>
          <w:sz w:val="19"/>
          <w:szCs w:val="19"/>
        </w:rPr>
        <w:t>Q</w:t>
      </w:r>
      <w:r w:rsidR="00150A50" w:rsidRPr="00C51ACB">
        <w:rPr>
          <w:rFonts w:ascii="Verdana" w:hAnsi="Verdana"/>
          <w:sz w:val="19"/>
          <w:szCs w:val="19"/>
        </w:rPr>
        <w:t xml:space="preserve"> persons across </w:t>
      </w:r>
      <w:r w:rsidR="00B013DD" w:rsidRPr="00C51ACB">
        <w:rPr>
          <w:rFonts w:ascii="Verdana" w:hAnsi="Verdana"/>
          <w:sz w:val="19"/>
          <w:szCs w:val="19"/>
        </w:rPr>
        <w:t>9</w:t>
      </w:r>
      <w:r w:rsidR="00150A50" w:rsidRPr="00C51ACB">
        <w:rPr>
          <w:rFonts w:ascii="Verdana" w:hAnsi="Verdana"/>
          <w:sz w:val="19"/>
          <w:szCs w:val="19"/>
        </w:rPr>
        <w:t xml:space="preserve"> cities</w:t>
      </w:r>
      <w:r w:rsidR="005C42BF" w:rsidRPr="00C51ACB">
        <w:rPr>
          <w:rFonts w:ascii="Verdana" w:hAnsi="Verdana"/>
          <w:sz w:val="19"/>
          <w:szCs w:val="19"/>
        </w:rPr>
        <w:t xml:space="preserve"> and from responses to </w:t>
      </w:r>
      <w:r w:rsidR="00C46FF6">
        <w:rPr>
          <w:rFonts w:ascii="Verdana" w:hAnsi="Verdana"/>
          <w:sz w:val="19"/>
          <w:szCs w:val="19"/>
        </w:rPr>
        <w:t>‘</w:t>
      </w:r>
      <w:r w:rsidR="00150A50" w:rsidRPr="00C51ACB">
        <w:rPr>
          <w:rFonts w:ascii="Verdana" w:hAnsi="Verdana"/>
          <w:sz w:val="19"/>
          <w:szCs w:val="19"/>
        </w:rPr>
        <w:t>Right to Information applications</w:t>
      </w:r>
      <w:r w:rsidR="00C46FF6">
        <w:rPr>
          <w:rFonts w:ascii="Verdana" w:hAnsi="Verdana"/>
          <w:sz w:val="19"/>
          <w:szCs w:val="19"/>
        </w:rPr>
        <w:t>’</w:t>
      </w:r>
      <w:r w:rsidRPr="00C51ACB">
        <w:rPr>
          <w:rStyle w:val="FootnoteReference"/>
          <w:rFonts w:ascii="Verdana" w:hAnsi="Verdana"/>
          <w:sz w:val="19"/>
          <w:szCs w:val="19"/>
        </w:rPr>
        <w:footnoteReference w:id="3"/>
      </w:r>
      <w:r w:rsidR="00150A50" w:rsidRPr="00C51ACB">
        <w:rPr>
          <w:rFonts w:ascii="Verdana" w:hAnsi="Verdana"/>
          <w:sz w:val="19"/>
          <w:szCs w:val="19"/>
        </w:rPr>
        <w:t xml:space="preserve"> </w:t>
      </w:r>
      <w:r w:rsidR="005C42BF" w:rsidRPr="00C51ACB">
        <w:rPr>
          <w:rFonts w:ascii="Verdana" w:hAnsi="Verdana"/>
          <w:sz w:val="19"/>
          <w:szCs w:val="19"/>
        </w:rPr>
        <w:t xml:space="preserve">filed </w:t>
      </w:r>
      <w:r w:rsidR="00150A50" w:rsidRPr="00C51ACB">
        <w:rPr>
          <w:rFonts w:ascii="Verdana" w:hAnsi="Verdana"/>
          <w:sz w:val="19"/>
          <w:szCs w:val="19"/>
        </w:rPr>
        <w:t>with various state departments</w:t>
      </w:r>
      <w:r w:rsidRPr="00C51ACB">
        <w:rPr>
          <w:rFonts w:ascii="Verdana" w:hAnsi="Verdana"/>
          <w:sz w:val="19"/>
          <w:szCs w:val="19"/>
        </w:rPr>
        <w:t xml:space="preserve"> relating to</w:t>
      </w:r>
      <w:r w:rsidR="00E422E8" w:rsidRPr="00C51ACB">
        <w:rPr>
          <w:rFonts w:ascii="Verdana" w:hAnsi="Verdana"/>
          <w:sz w:val="19"/>
          <w:szCs w:val="19"/>
        </w:rPr>
        <w:t xml:space="preserve"> </w:t>
      </w:r>
      <w:r w:rsidR="00B00B07" w:rsidRPr="00C51ACB">
        <w:rPr>
          <w:rFonts w:ascii="Verdana" w:hAnsi="Verdana"/>
          <w:sz w:val="19"/>
          <w:szCs w:val="19"/>
        </w:rPr>
        <w:t>arrests</w:t>
      </w:r>
      <w:r w:rsidR="00150A50" w:rsidRPr="00C51ACB">
        <w:rPr>
          <w:rFonts w:ascii="Verdana" w:hAnsi="Verdana"/>
          <w:sz w:val="19"/>
          <w:szCs w:val="19"/>
        </w:rPr>
        <w:t xml:space="preserve">, </w:t>
      </w:r>
      <w:r w:rsidR="00B00B07" w:rsidRPr="00C51ACB">
        <w:rPr>
          <w:rFonts w:ascii="Verdana" w:hAnsi="Verdana"/>
          <w:sz w:val="19"/>
          <w:szCs w:val="19"/>
        </w:rPr>
        <w:t>detention, blackmail</w:t>
      </w:r>
      <w:r w:rsidR="00150A50" w:rsidRPr="00C51ACB">
        <w:rPr>
          <w:rFonts w:ascii="Verdana" w:hAnsi="Verdana"/>
          <w:sz w:val="19"/>
          <w:szCs w:val="19"/>
        </w:rPr>
        <w:t>,</w:t>
      </w:r>
      <w:r w:rsidR="00B00B07" w:rsidRPr="00C51ACB">
        <w:rPr>
          <w:rFonts w:ascii="Verdana" w:hAnsi="Verdana"/>
          <w:sz w:val="19"/>
          <w:szCs w:val="19"/>
        </w:rPr>
        <w:t xml:space="preserve"> extortion, sexual violence and custodial torture </w:t>
      </w:r>
      <w:r w:rsidR="00150A50" w:rsidRPr="00C51ACB">
        <w:rPr>
          <w:rFonts w:ascii="Verdana" w:hAnsi="Verdana"/>
          <w:sz w:val="19"/>
          <w:szCs w:val="19"/>
        </w:rPr>
        <w:t>faced by LGBT</w:t>
      </w:r>
      <w:r w:rsidR="00241674">
        <w:rPr>
          <w:rFonts w:ascii="Verdana" w:hAnsi="Verdana"/>
          <w:sz w:val="19"/>
          <w:szCs w:val="19"/>
        </w:rPr>
        <w:t>Q</w:t>
      </w:r>
      <w:r w:rsidR="00150A50" w:rsidRPr="00C51ACB">
        <w:rPr>
          <w:rFonts w:ascii="Verdana" w:hAnsi="Verdana"/>
          <w:sz w:val="19"/>
          <w:szCs w:val="19"/>
        </w:rPr>
        <w:t xml:space="preserve"> persons. </w:t>
      </w:r>
      <w:r w:rsidRPr="00C51ACB">
        <w:rPr>
          <w:rFonts w:ascii="Verdana" w:hAnsi="Verdana"/>
          <w:sz w:val="19"/>
          <w:szCs w:val="19"/>
        </w:rPr>
        <w:t xml:space="preserve">This research resulted in the 2017 publication of the </w:t>
      </w:r>
      <w:r w:rsidR="00CF02CE" w:rsidRPr="00C51ACB">
        <w:rPr>
          <w:rFonts w:ascii="Verdana" w:hAnsi="Verdana"/>
          <w:sz w:val="19"/>
          <w:szCs w:val="19"/>
        </w:rPr>
        <w:t xml:space="preserve">ICJ’s </w:t>
      </w:r>
      <w:r w:rsidRPr="00C51ACB">
        <w:rPr>
          <w:rFonts w:ascii="Verdana" w:hAnsi="Verdana"/>
          <w:sz w:val="19"/>
          <w:szCs w:val="19"/>
        </w:rPr>
        <w:t>r</w:t>
      </w:r>
      <w:r w:rsidR="00150A50" w:rsidRPr="00C51ACB">
        <w:rPr>
          <w:rFonts w:ascii="Verdana" w:hAnsi="Verdana"/>
          <w:sz w:val="19"/>
          <w:szCs w:val="19"/>
        </w:rPr>
        <w:t>eport</w:t>
      </w:r>
      <w:r w:rsidR="005C42BF" w:rsidRPr="00C51ACB">
        <w:rPr>
          <w:rFonts w:ascii="Verdana" w:hAnsi="Verdana"/>
          <w:sz w:val="19"/>
          <w:szCs w:val="19"/>
        </w:rPr>
        <w:t>, “</w:t>
      </w:r>
      <w:r w:rsidRPr="00C51ACB">
        <w:rPr>
          <w:rFonts w:ascii="Verdana" w:hAnsi="Verdana"/>
          <w:sz w:val="19"/>
          <w:szCs w:val="19"/>
        </w:rPr>
        <w:t>‘</w:t>
      </w:r>
      <w:r w:rsidR="005C42BF" w:rsidRPr="00C51ACB">
        <w:rPr>
          <w:rFonts w:ascii="Verdana" w:hAnsi="Verdana" w:cs="Arial"/>
          <w:sz w:val="19"/>
          <w:szCs w:val="19"/>
        </w:rPr>
        <w:t>Unnatural Offences</w:t>
      </w:r>
      <w:r w:rsidRPr="00C51ACB">
        <w:rPr>
          <w:rFonts w:ascii="Verdana" w:hAnsi="Verdana" w:cs="Arial"/>
          <w:sz w:val="19"/>
          <w:szCs w:val="19"/>
        </w:rPr>
        <w:t>’:</w:t>
      </w:r>
      <w:r w:rsidR="005C42BF" w:rsidRPr="00C51ACB">
        <w:rPr>
          <w:rFonts w:ascii="Verdana" w:hAnsi="Verdana" w:cs="Arial"/>
          <w:sz w:val="19"/>
          <w:szCs w:val="19"/>
        </w:rPr>
        <w:t xml:space="preserve"> Obstacles to Justice in India Based on Sexual Orientation and Gender Identity”</w:t>
      </w:r>
      <w:r w:rsidRPr="00C51ACB">
        <w:rPr>
          <w:rFonts w:ascii="Verdana" w:hAnsi="Verdana"/>
          <w:sz w:val="19"/>
          <w:szCs w:val="19"/>
        </w:rPr>
        <w:t>.</w:t>
      </w:r>
      <w:r w:rsidR="00FF70B5" w:rsidRPr="00C51ACB">
        <w:rPr>
          <w:rStyle w:val="FootnoteReference"/>
          <w:rFonts w:ascii="Verdana" w:hAnsi="Verdana"/>
          <w:sz w:val="19"/>
          <w:szCs w:val="19"/>
        </w:rPr>
        <w:footnoteReference w:id="4"/>
      </w:r>
      <w:r w:rsidR="00B013DD" w:rsidRPr="00C51ACB">
        <w:rPr>
          <w:rFonts w:ascii="Verdana" w:hAnsi="Verdana"/>
          <w:sz w:val="19"/>
          <w:szCs w:val="19"/>
        </w:rPr>
        <w:t xml:space="preserve"> </w:t>
      </w:r>
      <w:r w:rsidRPr="00C51ACB">
        <w:rPr>
          <w:rFonts w:ascii="Verdana" w:hAnsi="Verdana"/>
          <w:sz w:val="19"/>
          <w:szCs w:val="19"/>
        </w:rPr>
        <w:t xml:space="preserve"> The report </w:t>
      </w:r>
      <w:r w:rsidR="00E422E8" w:rsidRPr="00C51ACB">
        <w:rPr>
          <w:rFonts w:ascii="Verdana" w:hAnsi="Verdana"/>
          <w:sz w:val="19"/>
          <w:szCs w:val="19"/>
        </w:rPr>
        <w:t xml:space="preserve">was </w:t>
      </w:r>
      <w:r w:rsidR="00E422E8" w:rsidRPr="00C51ACB">
        <w:rPr>
          <w:rFonts w:ascii="Verdana" w:hAnsi="Verdana"/>
          <w:sz w:val="19"/>
          <w:szCs w:val="19"/>
        </w:rPr>
        <w:lastRenderedPageBreak/>
        <w:t xml:space="preserve">cited by the </w:t>
      </w:r>
      <w:r w:rsidR="00150A50" w:rsidRPr="00C51ACB">
        <w:rPr>
          <w:rFonts w:ascii="Verdana" w:hAnsi="Verdana"/>
          <w:sz w:val="19"/>
          <w:szCs w:val="19"/>
        </w:rPr>
        <w:t xml:space="preserve">Indian </w:t>
      </w:r>
      <w:r w:rsidR="00E422E8" w:rsidRPr="00C51ACB">
        <w:rPr>
          <w:rFonts w:ascii="Verdana" w:hAnsi="Verdana"/>
          <w:sz w:val="19"/>
          <w:szCs w:val="19"/>
        </w:rPr>
        <w:t xml:space="preserve">Supreme Court in </w:t>
      </w:r>
      <w:r w:rsidR="00E422E8" w:rsidRPr="00C51ACB">
        <w:rPr>
          <w:rFonts w:ascii="Verdana" w:hAnsi="Verdana"/>
          <w:i/>
          <w:sz w:val="19"/>
          <w:szCs w:val="19"/>
        </w:rPr>
        <w:t>Navtej Singh Johar v. Union of India</w:t>
      </w:r>
      <w:r w:rsidR="00B60B20" w:rsidRPr="00C51ACB">
        <w:rPr>
          <w:rFonts w:ascii="Verdana" w:hAnsi="Verdana"/>
          <w:i/>
          <w:sz w:val="19"/>
          <w:szCs w:val="19"/>
        </w:rPr>
        <w:t>,</w:t>
      </w:r>
      <w:r w:rsidR="00B60B20" w:rsidRPr="00C51ACB">
        <w:rPr>
          <w:rStyle w:val="FootnoteReference"/>
          <w:rFonts w:ascii="Verdana" w:hAnsi="Verdana"/>
          <w:sz w:val="19"/>
          <w:szCs w:val="19"/>
        </w:rPr>
        <w:footnoteReference w:id="5"/>
      </w:r>
      <w:r w:rsidRPr="00C51ACB">
        <w:rPr>
          <w:rFonts w:ascii="Verdana" w:hAnsi="Verdana"/>
          <w:sz w:val="19"/>
          <w:szCs w:val="19"/>
        </w:rPr>
        <w:t xml:space="preserve"> which held that provisions of Indian law criminalizing </w:t>
      </w:r>
      <w:r w:rsidR="004E6316">
        <w:rPr>
          <w:rFonts w:ascii="Verdana" w:hAnsi="Verdana"/>
          <w:sz w:val="19"/>
          <w:szCs w:val="19"/>
        </w:rPr>
        <w:t>same-sex intercourse</w:t>
      </w:r>
      <w:r w:rsidRPr="00C51ACB">
        <w:rPr>
          <w:rFonts w:ascii="Verdana" w:hAnsi="Verdana"/>
          <w:sz w:val="19"/>
          <w:szCs w:val="19"/>
        </w:rPr>
        <w:t xml:space="preserve"> were unconstitutional</w:t>
      </w:r>
      <w:r w:rsidR="00150A50" w:rsidRPr="00C51ACB">
        <w:rPr>
          <w:rFonts w:ascii="Verdana" w:hAnsi="Verdana"/>
          <w:i/>
          <w:sz w:val="19"/>
          <w:szCs w:val="19"/>
        </w:rPr>
        <w:t>.</w:t>
      </w:r>
      <w:r w:rsidR="00150A50" w:rsidRPr="00C51ACB">
        <w:rPr>
          <w:rStyle w:val="FootnoteReference"/>
          <w:rFonts w:ascii="Verdana" w:hAnsi="Verdana"/>
          <w:sz w:val="19"/>
          <w:szCs w:val="19"/>
        </w:rPr>
        <w:footnoteReference w:id="6"/>
      </w:r>
      <w:r w:rsidR="00B00B07" w:rsidRPr="00C51ACB">
        <w:rPr>
          <w:rFonts w:ascii="Verdana" w:hAnsi="Verdana"/>
          <w:sz w:val="19"/>
          <w:szCs w:val="19"/>
        </w:rPr>
        <w:t xml:space="preserve"> </w:t>
      </w:r>
    </w:p>
    <w:p w14:paraId="3EC5C7F5" w14:textId="753BE42E" w:rsidR="00560828" w:rsidRPr="00C51ACB" w:rsidRDefault="00150A50" w:rsidP="00FB13F5">
      <w:pPr>
        <w:spacing w:line="240" w:lineRule="auto"/>
        <w:rPr>
          <w:rFonts w:ascii="Verdana" w:hAnsi="Verdana"/>
          <w:sz w:val="19"/>
          <w:szCs w:val="19"/>
        </w:rPr>
      </w:pPr>
      <w:r w:rsidRPr="00C51ACB">
        <w:rPr>
          <w:rFonts w:ascii="Verdana" w:hAnsi="Verdana"/>
          <w:sz w:val="19"/>
          <w:szCs w:val="19"/>
        </w:rPr>
        <w:t>In the second phase of this work</w:t>
      </w:r>
      <w:r w:rsidR="00C46FF6">
        <w:rPr>
          <w:rFonts w:ascii="Verdana" w:hAnsi="Verdana"/>
          <w:sz w:val="19"/>
          <w:szCs w:val="19"/>
        </w:rPr>
        <w:t>,</w:t>
      </w:r>
      <w:r w:rsidRPr="00C51ACB">
        <w:rPr>
          <w:rFonts w:ascii="Verdana" w:hAnsi="Verdana"/>
          <w:sz w:val="19"/>
          <w:szCs w:val="19"/>
        </w:rPr>
        <w:t xml:space="preserve"> from 2017</w:t>
      </w:r>
      <w:r w:rsidR="00462743" w:rsidRPr="00C51ACB">
        <w:rPr>
          <w:rFonts w:ascii="Verdana" w:hAnsi="Verdana"/>
          <w:sz w:val="19"/>
          <w:szCs w:val="19"/>
        </w:rPr>
        <w:t xml:space="preserve"> to date</w:t>
      </w:r>
      <w:r w:rsidRPr="00C51ACB">
        <w:rPr>
          <w:rFonts w:ascii="Verdana" w:hAnsi="Verdana"/>
          <w:sz w:val="19"/>
          <w:szCs w:val="19"/>
        </w:rPr>
        <w:t xml:space="preserve">, </w:t>
      </w:r>
      <w:r w:rsidR="0030122C" w:rsidRPr="00C51ACB">
        <w:rPr>
          <w:rFonts w:ascii="Verdana" w:hAnsi="Verdana"/>
          <w:sz w:val="19"/>
          <w:szCs w:val="19"/>
        </w:rPr>
        <w:t xml:space="preserve">the ICJ </w:t>
      </w:r>
      <w:r w:rsidRPr="00C51ACB">
        <w:rPr>
          <w:rFonts w:ascii="Verdana" w:hAnsi="Verdana"/>
          <w:sz w:val="19"/>
          <w:szCs w:val="19"/>
        </w:rPr>
        <w:t>is analyzing</w:t>
      </w:r>
      <w:r w:rsidR="0030122C" w:rsidRPr="00C51ACB">
        <w:rPr>
          <w:rFonts w:ascii="Verdana" w:hAnsi="Verdana"/>
          <w:sz w:val="19"/>
          <w:szCs w:val="19"/>
        </w:rPr>
        <w:t xml:space="preserve"> the access </w:t>
      </w:r>
      <w:r w:rsidRPr="00C51ACB">
        <w:rPr>
          <w:rFonts w:ascii="Verdana" w:hAnsi="Verdana"/>
          <w:sz w:val="19"/>
          <w:szCs w:val="19"/>
        </w:rPr>
        <w:t xml:space="preserve">to </w:t>
      </w:r>
      <w:r w:rsidR="0030122C" w:rsidRPr="00C51ACB">
        <w:rPr>
          <w:rFonts w:ascii="Verdana" w:hAnsi="Verdana"/>
          <w:sz w:val="19"/>
          <w:szCs w:val="19"/>
        </w:rPr>
        <w:t xml:space="preserve">and enjoyment of </w:t>
      </w:r>
      <w:r w:rsidR="00F96C74" w:rsidRPr="00C51ACB">
        <w:rPr>
          <w:rFonts w:ascii="Verdana" w:hAnsi="Verdana"/>
          <w:sz w:val="19"/>
          <w:szCs w:val="19"/>
        </w:rPr>
        <w:t>economic, social, and cultural (ESC)</w:t>
      </w:r>
      <w:r w:rsidR="0030122C" w:rsidRPr="00C51ACB">
        <w:rPr>
          <w:rFonts w:ascii="Verdana" w:hAnsi="Verdana"/>
          <w:sz w:val="19"/>
          <w:szCs w:val="19"/>
        </w:rPr>
        <w:t xml:space="preserve"> rights by LGBT</w:t>
      </w:r>
      <w:r w:rsidR="00241674">
        <w:rPr>
          <w:rFonts w:ascii="Verdana" w:hAnsi="Verdana"/>
          <w:sz w:val="19"/>
          <w:szCs w:val="19"/>
        </w:rPr>
        <w:t>Q</w:t>
      </w:r>
      <w:r w:rsidR="0030122C" w:rsidRPr="00C51ACB">
        <w:rPr>
          <w:rFonts w:ascii="Verdana" w:hAnsi="Verdana"/>
          <w:sz w:val="19"/>
          <w:szCs w:val="19"/>
        </w:rPr>
        <w:t xml:space="preserve"> persons</w:t>
      </w:r>
      <w:r w:rsidR="00462743" w:rsidRPr="00C51ACB">
        <w:rPr>
          <w:rFonts w:ascii="Verdana" w:hAnsi="Verdana"/>
          <w:sz w:val="19"/>
          <w:szCs w:val="19"/>
        </w:rPr>
        <w:t xml:space="preserve">. This research, which follows the same methodology as the “Unnatural Offences” report, focuses on access to </w:t>
      </w:r>
      <w:r w:rsidR="0030122C" w:rsidRPr="00C51ACB">
        <w:rPr>
          <w:rFonts w:ascii="Verdana" w:hAnsi="Verdana"/>
          <w:sz w:val="19"/>
          <w:szCs w:val="19"/>
        </w:rPr>
        <w:t>adequate housing, decent work</w:t>
      </w:r>
      <w:r w:rsidR="004E6316">
        <w:rPr>
          <w:rFonts w:ascii="Verdana" w:hAnsi="Verdana"/>
          <w:sz w:val="19"/>
          <w:szCs w:val="19"/>
        </w:rPr>
        <w:t>,</w:t>
      </w:r>
      <w:r w:rsidR="00462743" w:rsidRPr="00C51ACB">
        <w:rPr>
          <w:rFonts w:ascii="Verdana" w:hAnsi="Verdana"/>
          <w:sz w:val="19"/>
          <w:szCs w:val="19"/>
        </w:rPr>
        <w:t xml:space="preserve"> and public spaces and services including water and sanitation. The goal of the project is to reveal, </w:t>
      </w:r>
      <w:r w:rsidR="00875A25" w:rsidRPr="00C51ACB">
        <w:rPr>
          <w:rFonts w:ascii="Verdana" w:hAnsi="Verdana"/>
          <w:sz w:val="19"/>
          <w:szCs w:val="19"/>
        </w:rPr>
        <w:t>address</w:t>
      </w:r>
      <w:r w:rsidR="004E6316">
        <w:rPr>
          <w:rFonts w:ascii="Verdana" w:hAnsi="Verdana"/>
          <w:sz w:val="19"/>
          <w:szCs w:val="19"/>
        </w:rPr>
        <w:t>,</w:t>
      </w:r>
      <w:r w:rsidR="00875A25" w:rsidRPr="00C51ACB">
        <w:rPr>
          <w:rFonts w:ascii="Verdana" w:hAnsi="Verdana"/>
          <w:sz w:val="19"/>
          <w:szCs w:val="19"/>
        </w:rPr>
        <w:t xml:space="preserve"> and reduce discriminatory treatment </w:t>
      </w:r>
      <w:r w:rsidR="00462743" w:rsidRPr="00C51ACB">
        <w:rPr>
          <w:rFonts w:ascii="Verdana" w:hAnsi="Verdana"/>
          <w:sz w:val="19"/>
          <w:szCs w:val="19"/>
        </w:rPr>
        <w:t xml:space="preserve">against LBGT persons as a result of </w:t>
      </w:r>
      <w:r w:rsidR="00875A25" w:rsidRPr="00C51ACB">
        <w:rPr>
          <w:rFonts w:ascii="Verdana" w:hAnsi="Verdana"/>
          <w:sz w:val="19"/>
          <w:szCs w:val="19"/>
        </w:rPr>
        <w:t>discriminatory laws and practices</w:t>
      </w:r>
      <w:r w:rsidR="00462743" w:rsidRPr="00C51ACB">
        <w:rPr>
          <w:rFonts w:ascii="Verdana" w:hAnsi="Verdana"/>
          <w:sz w:val="19"/>
          <w:szCs w:val="19"/>
        </w:rPr>
        <w:t>. The project also seeks to highlight the connection between</w:t>
      </w:r>
      <w:r w:rsidR="00B60B20" w:rsidRPr="00C51ACB">
        <w:rPr>
          <w:rFonts w:ascii="Verdana" w:hAnsi="Verdana"/>
          <w:sz w:val="19"/>
          <w:szCs w:val="19"/>
        </w:rPr>
        <w:t xml:space="preserve"> </w:t>
      </w:r>
      <w:r w:rsidR="007A1607">
        <w:rPr>
          <w:rFonts w:ascii="Verdana" w:hAnsi="Verdana"/>
          <w:sz w:val="19"/>
          <w:szCs w:val="19"/>
        </w:rPr>
        <w:t xml:space="preserve">stigma, discrimination, </w:t>
      </w:r>
      <w:r w:rsidR="00875A25" w:rsidRPr="00C51ACB">
        <w:rPr>
          <w:rFonts w:ascii="Verdana" w:hAnsi="Verdana"/>
          <w:sz w:val="19"/>
          <w:szCs w:val="19"/>
        </w:rPr>
        <w:t>violence</w:t>
      </w:r>
      <w:r w:rsidR="00462743" w:rsidRPr="00C51ACB">
        <w:rPr>
          <w:rFonts w:ascii="Verdana" w:hAnsi="Verdana"/>
          <w:sz w:val="19"/>
          <w:szCs w:val="19"/>
        </w:rPr>
        <w:t xml:space="preserve"> </w:t>
      </w:r>
      <w:r w:rsidR="007A1607">
        <w:rPr>
          <w:rFonts w:ascii="Verdana" w:hAnsi="Verdana"/>
          <w:sz w:val="19"/>
          <w:szCs w:val="19"/>
        </w:rPr>
        <w:t xml:space="preserve">and abuse </w:t>
      </w:r>
      <w:r w:rsidR="00462743" w:rsidRPr="00C51ACB">
        <w:rPr>
          <w:rFonts w:ascii="Verdana" w:hAnsi="Verdana"/>
          <w:sz w:val="19"/>
          <w:szCs w:val="19"/>
        </w:rPr>
        <w:t>against LGBT</w:t>
      </w:r>
      <w:r w:rsidR="00241674">
        <w:rPr>
          <w:rFonts w:ascii="Verdana" w:hAnsi="Verdana"/>
          <w:sz w:val="19"/>
          <w:szCs w:val="19"/>
        </w:rPr>
        <w:t>Q</w:t>
      </w:r>
      <w:r w:rsidR="00462743" w:rsidRPr="00C51ACB">
        <w:rPr>
          <w:rFonts w:ascii="Verdana" w:hAnsi="Verdana"/>
          <w:sz w:val="19"/>
          <w:szCs w:val="19"/>
        </w:rPr>
        <w:t xml:space="preserve"> persons and access to ESC rights. </w:t>
      </w:r>
    </w:p>
    <w:p w14:paraId="28BC1547" w14:textId="4E9ADBDA" w:rsidR="004F1660" w:rsidRPr="00C51ACB" w:rsidRDefault="0030122C" w:rsidP="00462743">
      <w:pPr>
        <w:spacing w:line="240" w:lineRule="auto"/>
        <w:rPr>
          <w:rFonts w:ascii="Verdana" w:eastAsia="Times New Roman" w:hAnsi="Verdana"/>
          <w:sz w:val="19"/>
          <w:szCs w:val="19"/>
        </w:rPr>
      </w:pPr>
      <w:r w:rsidRPr="00C51ACB">
        <w:rPr>
          <w:rFonts w:ascii="Verdana" w:hAnsi="Verdana"/>
          <w:sz w:val="19"/>
          <w:szCs w:val="19"/>
        </w:rPr>
        <w:t xml:space="preserve">As part of this </w:t>
      </w:r>
      <w:r w:rsidR="00462743" w:rsidRPr="00C51ACB">
        <w:rPr>
          <w:rFonts w:ascii="Verdana" w:hAnsi="Verdana"/>
          <w:sz w:val="19"/>
          <w:szCs w:val="19"/>
        </w:rPr>
        <w:t>research</w:t>
      </w:r>
      <w:r w:rsidRPr="00C51ACB">
        <w:rPr>
          <w:rFonts w:ascii="Verdana" w:hAnsi="Verdana"/>
          <w:sz w:val="19"/>
          <w:szCs w:val="19"/>
        </w:rPr>
        <w:t xml:space="preserve">, the ICJ has </w:t>
      </w:r>
      <w:r w:rsidR="00462743" w:rsidRPr="00C51ACB">
        <w:rPr>
          <w:rFonts w:ascii="Verdana" w:hAnsi="Verdana"/>
          <w:sz w:val="19"/>
          <w:szCs w:val="19"/>
        </w:rPr>
        <w:t>interviewed 65</w:t>
      </w:r>
      <w:r w:rsidRPr="00C51ACB">
        <w:rPr>
          <w:rFonts w:ascii="Verdana" w:hAnsi="Verdana"/>
          <w:sz w:val="19"/>
          <w:szCs w:val="19"/>
        </w:rPr>
        <w:t xml:space="preserve"> </w:t>
      </w:r>
      <w:r w:rsidR="00462743" w:rsidRPr="00C51ACB">
        <w:rPr>
          <w:rFonts w:ascii="Verdana" w:hAnsi="Verdana"/>
          <w:sz w:val="19"/>
          <w:szCs w:val="19"/>
        </w:rPr>
        <w:t>LGBT</w:t>
      </w:r>
      <w:r w:rsidR="00965514" w:rsidRPr="0094765A">
        <w:rPr>
          <w:rFonts w:ascii="Verdana" w:hAnsi="Verdana"/>
          <w:sz w:val="19"/>
          <w:szCs w:val="19"/>
        </w:rPr>
        <w:t>Q</w:t>
      </w:r>
      <w:r w:rsidR="00462743" w:rsidRPr="00C51ACB">
        <w:rPr>
          <w:rFonts w:ascii="Verdana" w:hAnsi="Verdana"/>
          <w:sz w:val="19"/>
          <w:szCs w:val="19"/>
        </w:rPr>
        <w:t xml:space="preserve"> </w:t>
      </w:r>
      <w:r w:rsidR="007A1607">
        <w:rPr>
          <w:rFonts w:ascii="Verdana" w:hAnsi="Verdana"/>
          <w:sz w:val="19"/>
          <w:szCs w:val="19"/>
        </w:rPr>
        <w:t>individuals</w:t>
      </w:r>
      <w:r w:rsidR="007A1607" w:rsidRPr="00C51ACB">
        <w:rPr>
          <w:rFonts w:ascii="Verdana" w:hAnsi="Verdana"/>
          <w:sz w:val="19"/>
          <w:szCs w:val="19"/>
        </w:rPr>
        <w:t xml:space="preserve"> </w:t>
      </w:r>
      <w:r w:rsidR="00462743" w:rsidRPr="00C51ACB">
        <w:rPr>
          <w:rFonts w:ascii="Verdana" w:hAnsi="Verdana"/>
          <w:sz w:val="19"/>
          <w:szCs w:val="19"/>
        </w:rPr>
        <w:t>about their</w:t>
      </w:r>
      <w:r w:rsidRPr="00C51ACB">
        <w:rPr>
          <w:rFonts w:ascii="Verdana" w:hAnsi="Verdana"/>
          <w:sz w:val="19"/>
          <w:szCs w:val="19"/>
        </w:rPr>
        <w:t xml:space="preserve"> access to </w:t>
      </w:r>
      <w:r w:rsidR="00150A50" w:rsidRPr="00C51ACB">
        <w:rPr>
          <w:rFonts w:ascii="Verdana" w:hAnsi="Verdana"/>
          <w:sz w:val="19"/>
          <w:szCs w:val="19"/>
        </w:rPr>
        <w:t xml:space="preserve">water and </w:t>
      </w:r>
      <w:r w:rsidRPr="00C51ACB">
        <w:rPr>
          <w:rFonts w:ascii="Verdana" w:hAnsi="Verdana"/>
          <w:sz w:val="19"/>
          <w:szCs w:val="19"/>
        </w:rPr>
        <w:t>sanitation facilities</w:t>
      </w:r>
      <w:r w:rsidR="00150A50" w:rsidRPr="00C51ACB">
        <w:rPr>
          <w:rFonts w:ascii="Verdana" w:hAnsi="Verdana"/>
          <w:sz w:val="19"/>
          <w:szCs w:val="19"/>
        </w:rPr>
        <w:t xml:space="preserve"> in public spaces</w:t>
      </w:r>
      <w:r w:rsidRPr="00C51ACB">
        <w:rPr>
          <w:rFonts w:ascii="Verdana" w:hAnsi="Verdana"/>
          <w:sz w:val="19"/>
          <w:szCs w:val="19"/>
        </w:rPr>
        <w:t>.</w:t>
      </w:r>
      <w:r w:rsidR="00462743" w:rsidRPr="00C51ACB">
        <w:rPr>
          <w:rStyle w:val="FootnoteReference"/>
          <w:rFonts w:ascii="Verdana" w:hAnsi="Verdana"/>
          <w:sz w:val="19"/>
          <w:szCs w:val="19"/>
        </w:rPr>
        <w:footnoteReference w:id="7"/>
      </w:r>
      <w:r w:rsidRPr="00C51ACB">
        <w:rPr>
          <w:rFonts w:ascii="Verdana" w:hAnsi="Verdana"/>
          <w:sz w:val="19"/>
          <w:szCs w:val="19"/>
        </w:rPr>
        <w:t xml:space="preserve"> </w:t>
      </w:r>
      <w:r w:rsidR="002E0260">
        <w:rPr>
          <w:rFonts w:ascii="Verdana" w:hAnsi="Verdana"/>
          <w:sz w:val="19"/>
          <w:szCs w:val="19"/>
        </w:rPr>
        <w:t>In</w:t>
      </w:r>
      <w:r w:rsidR="002E0260" w:rsidRPr="00C51ACB">
        <w:rPr>
          <w:rFonts w:ascii="Verdana" w:hAnsi="Verdana"/>
          <w:sz w:val="19"/>
          <w:szCs w:val="19"/>
        </w:rPr>
        <w:t xml:space="preserve"> </w:t>
      </w:r>
      <w:r w:rsidR="00462743" w:rsidRPr="00C51ACB">
        <w:rPr>
          <w:rFonts w:ascii="Verdana" w:hAnsi="Verdana"/>
          <w:sz w:val="19"/>
          <w:szCs w:val="19"/>
        </w:rPr>
        <w:t>this context, this</w:t>
      </w:r>
      <w:r w:rsidR="004F1660" w:rsidRPr="00C51ACB">
        <w:rPr>
          <w:rFonts w:ascii="Verdana" w:hAnsi="Verdana"/>
          <w:sz w:val="19"/>
          <w:szCs w:val="19"/>
        </w:rPr>
        <w:t xml:space="preserve"> </w:t>
      </w:r>
      <w:r w:rsidR="009E24F2" w:rsidRPr="00C51ACB">
        <w:rPr>
          <w:rFonts w:ascii="Verdana" w:hAnsi="Verdana"/>
          <w:sz w:val="19"/>
          <w:szCs w:val="19"/>
        </w:rPr>
        <w:t>submission</w:t>
      </w:r>
      <w:r w:rsidR="00462743" w:rsidRPr="00C51ACB">
        <w:rPr>
          <w:rFonts w:ascii="Verdana" w:hAnsi="Verdana"/>
          <w:sz w:val="19"/>
          <w:szCs w:val="19"/>
        </w:rPr>
        <w:t xml:space="preserve"> </w:t>
      </w:r>
      <w:r w:rsidR="004F1660" w:rsidRPr="00C51ACB">
        <w:rPr>
          <w:rFonts w:ascii="Verdana" w:hAnsi="Verdana"/>
          <w:sz w:val="19"/>
          <w:szCs w:val="19"/>
        </w:rPr>
        <w:t xml:space="preserve">highlights the </w:t>
      </w:r>
      <w:r w:rsidR="00560828" w:rsidRPr="00C51ACB">
        <w:rPr>
          <w:rFonts w:ascii="Verdana" w:eastAsia="Times New Roman" w:hAnsi="Verdana" w:cs="Times New Roman"/>
          <w:color w:val="000000"/>
          <w:sz w:val="19"/>
          <w:szCs w:val="19"/>
          <w:shd w:val="clear" w:color="auto" w:fill="FFFFFF"/>
        </w:rPr>
        <w:t xml:space="preserve">status and the impact of inadequate access to water and sanitation on </w:t>
      </w:r>
      <w:r w:rsidR="00462743" w:rsidRPr="00C51ACB">
        <w:rPr>
          <w:rFonts w:ascii="Verdana" w:hAnsi="Verdana"/>
          <w:sz w:val="19"/>
          <w:szCs w:val="19"/>
        </w:rPr>
        <w:t>LGBT</w:t>
      </w:r>
      <w:r w:rsidR="00965514" w:rsidRPr="0094765A">
        <w:rPr>
          <w:rFonts w:ascii="Verdana" w:hAnsi="Verdana"/>
          <w:sz w:val="19"/>
          <w:szCs w:val="19"/>
        </w:rPr>
        <w:t>Q</w:t>
      </w:r>
      <w:r w:rsidR="006837B9" w:rsidRPr="00C51ACB">
        <w:rPr>
          <w:rFonts w:ascii="Verdana" w:hAnsi="Verdana"/>
          <w:sz w:val="19"/>
          <w:szCs w:val="19"/>
        </w:rPr>
        <w:t xml:space="preserve"> persons</w:t>
      </w:r>
      <w:r w:rsidR="00462743" w:rsidRPr="00C51ACB">
        <w:rPr>
          <w:rFonts w:ascii="Verdana" w:hAnsi="Verdana"/>
          <w:sz w:val="19"/>
          <w:szCs w:val="19"/>
        </w:rPr>
        <w:t xml:space="preserve"> in India</w:t>
      </w:r>
      <w:r w:rsidR="00965514" w:rsidRPr="0094765A">
        <w:rPr>
          <w:rFonts w:ascii="Verdana" w:hAnsi="Verdana"/>
          <w:sz w:val="19"/>
          <w:szCs w:val="19"/>
        </w:rPr>
        <w:t xml:space="preserve">, with a focus on </w:t>
      </w:r>
      <w:r w:rsidR="00965514" w:rsidRPr="0094765A">
        <w:rPr>
          <w:rFonts w:ascii="Verdana" w:eastAsia="Times New Roman" w:hAnsi="Verdana" w:cs="Times New Roman"/>
          <w:color w:val="000000"/>
          <w:sz w:val="19"/>
          <w:szCs w:val="19"/>
          <w:shd w:val="clear" w:color="auto" w:fill="FFFFFF"/>
        </w:rPr>
        <w:t xml:space="preserve">transgender </w:t>
      </w:r>
      <w:r w:rsidR="002E0260">
        <w:rPr>
          <w:rFonts w:ascii="Verdana" w:eastAsia="Times New Roman" w:hAnsi="Verdana" w:cs="Times New Roman"/>
          <w:color w:val="000000"/>
          <w:sz w:val="19"/>
          <w:szCs w:val="19"/>
          <w:shd w:val="clear" w:color="auto" w:fill="FFFFFF"/>
        </w:rPr>
        <w:t>individuals</w:t>
      </w:r>
      <w:r w:rsidR="002E0260" w:rsidRPr="0094765A">
        <w:rPr>
          <w:rFonts w:ascii="Verdana" w:eastAsia="Times New Roman" w:hAnsi="Verdana" w:cs="Times New Roman"/>
          <w:color w:val="000000"/>
          <w:sz w:val="19"/>
          <w:szCs w:val="19"/>
          <w:shd w:val="clear" w:color="auto" w:fill="FFFFFF"/>
        </w:rPr>
        <w:t xml:space="preserve"> </w:t>
      </w:r>
      <w:r w:rsidR="00965514" w:rsidRPr="0094765A">
        <w:rPr>
          <w:rFonts w:ascii="Verdana" w:eastAsia="Times New Roman" w:hAnsi="Verdana" w:cs="Times New Roman"/>
          <w:color w:val="000000"/>
          <w:sz w:val="19"/>
          <w:szCs w:val="19"/>
          <w:shd w:val="clear" w:color="auto" w:fill="FFFFFF"/>
        </w:rPr>
        <w:t xml:space="preserve">and </w:t>
      </w:r>
      <w:r w:rsidR="00965514" w:rsidRPr="00C51ACB">
        <w:rPr>
          <w:rFonts w:ascii="Verdana" w:eastAsia="Times New Roman" w:hAnsi="Verdana" w:cs="Times New Roman"/>
          <w:color w:val="000000"/>
          <w:sz w:val="19"/>
          <w:szCs w:val="19"/>
          <w:shd w:val="clear" w:color="auto" w:fill="FFFFFF"/>
        </w:rPr>
        <w:t>non-binary persons</w:t>
      </w:r>
      <w:r w:rsidR="006837B9" w:rsidRPr="00C51ACB">
        <w:rPr>
          <w:rFonts w:ascii="Verdana" w:eastAsia="Times New Roman" w:hAnsi="Verdana" w:cs="Times New Roman"/>
          <w:color w:val="000000"/>
          <w:sz w:val="19"/>
          <w:szCs w:val="19"/>
          <w:shd w:val="clear" w:color="auto" w:fill="FFFFFF"/>
        </w:rPr>
        <w:t>.</w:t>
      </w:r>
      <w:r w:rsidR="004F1660" w:rsidRPr="00C51ACB">
        <w:rPr>
          <w:rFonts w:ascii="Verdana" w:hAnsi="Verdana"/>
          <w:sz w:val="19"/>
          <w:szCs w:val="19"/>
        </w:rPr>
        <w:t xml:space="preserve"> </w:t>
      </w:r>
    </w:p>
    <w:p w14:paraId="36192778" w14:textId="3C2D2207" w:rsidR="00EF0A1C" w:rsidRPr="00C51ACB" w:rsidRDefault="00EF0A1C" w:rsidP="00FB13F5">
      <w:pPr>
        <w:pStyle w:val="Heading1"/>
        <w:numPr>
          <w:ilvl w:val="0"/>
          <w:numId w:val="26"/>
        </w:numPr>
        <w:spacing w:line="240" w:lineRule="auto"/>
        <w:rPr>
          <w:rFonts w:ascii="Verdana" w:hAnsi="Verdana"/>
          <w:b/>
          <w:color w:val="auto"/>
          <w:sz w:val="19"/>
          <w:szCs w:val="19"/>
        </w:rPr>
      </w:pPr>
      <w:r w:rsidRPr="00C51ACB">
        <w:rPr>
          <w:rFonts w:ascii="Verdana" w:hAnsi="Verdana"/>
          <w:b/>
          <w:color w:val="auto"/>
          <w:sz w:val="19"/>
          <w:szCs w:val="19"/>
        </w:rPr>
        <w:t xml:space="preserve">How does your </w:t>
      </w:r>
      <w:r w:rsidR="004E6316" w:rsidRPr="004E6316">
        <w:rPr>
          <w:rFonts w:ascii="Verdana" w:hAnsi="Verdana"/>
          <w:b/>
          <w:color w:val="auto"/>
          <w:sz w:val="19"/>
          <w:szCs w:val="19"/>
        </w:rPr>
        <w:t>organization</w:t>
      </w:r>
      <w:r w:rsidRPr="00C51ACB">
        <w:rPr>
          <w:rFonts w:ascii="Verdana" w:hAnsi="Verdana"/>
          <w:b/>
          <w:color w:val="auto"/>
          <w:sz w:val="19"/>
          <w:szCs w:val="19"/>
        </w:rPr>
        <w:t xml:space="preserve"> define public space and does this differ from how public space is defined in the legislative or policy framework of the country where you operate?</w:t>
      </w:r>
    </w:p>
    <w:p w14:paraId="6C61AFE4" w14:textId="25F11B3B" w:rsidR="0031000B" w:rsidRPr="00C51ACB" w:rsidRDefault="00462743" w:rsidP="00FB13F5">
      <w:pPr>
        <w:spacing w:line="240" w:lineRule="auto"/>
        <w:rPr>
          <w:rFonts w:ascii="Verdana" w:eastAsia="Garamond" w:hAnsi="Verdana" w:cs="Garamond"/>
          <w:sz w:val="19"/>
          <w:szCs w:val="19"/>
        </w:rPr>
      </w:pPr>
      <w:r w:rsidRPr="00C51ACB">
        <w:rPr>
          <w:rFonts w:ascii="Verdana" w:hAnsi="Verdana"/>
          <w:sz w:val="19"/>
          <w:szCs w:val="19"/>
        </w:rPr>
        <w:t>“</w:t>
      </w:r>
      <w:r w:rsidR="00A60ED7" w:rsidRPr="00C51ACB">
        <w:rPr>
          <w:rFonts w:ascii="Verdana" w:hAnsi="Verdana"/>
          <w:sz w:val="19"/>
          <w:szCs w:val="19"/>
        </w:rPr>
        <w:t>Public spaces</w:t>
      </w:r>
      <w:r w:rsidRPr="00C51ACB">
        <w:rPr>
          <w:rFonts w:ascii="Verdana" w:hAnsi="Verdana"/>
          <w:sz w:val="19"/>
          <w:szCs w:val="19"/>
        </w:rPr>
        <w:t>”</w:t>
      </w:r>
      <w:r w:rsidR="00A60ED7" w:rsidRPr="00C51ACB">
        <w:rPr>
          <w:rFonts w:ascii="Verdana" w:hAnsi="Verdana"/>
          <w:sz w:val="19"/>
          <w:szCs w:val="19"/>
        </w:rPr>
        <w:t xml:space="preserve"> </w:t>
      </w:r>
      <w:r w:rsidRPr="00C51ACB">
        <w:rPr>
          <w:rFonts w:ascii="Verdana" w:hAnsi="Verdana"/>
          <w:sz w:val="19"/>
          <w:szCs w:val="19"/>
        </w:rPr>
        <w:t>are not clearly defined</w:t>
      </w:r>
      <w:r w:rsidR="00A60ED7" w:rsidRPr="00C51ACB">
        <w:rPr>
          <w:rFonts w:ascii="Verdana" w:hAnsi="Verdana"/>
          <w:sz w:val="19"/>
          <w:szCs w:val="19"/>
        </w:rPr>
        <w:t xml:space="preserve"> in the Indian legal and policy framework</w:t>
      </w:r>
      <w:r w:rsidRPr="00C51ACB">
        <w:rPr>
          <w:rFonts w:ascii="Verdana" w:hAnsi="Verdana"/>
          <w:sz w:val="19"/>
          <w:szCs w:val="19"/>
        </w:rPr>
        <w:t xml:space="preserve">. Nevertheless, </w:t>
      </w:r>
      <w:r w:rsidR="00137EC0" w:rsidRPr="00C51ACB">
        <w:rPr>
          <w:rFonts w:ascii="Verdana" w:hAnsi="Verdana"/>
          <w:sz w:val="19"/>
          <w:szCs w:val="19"/>
        </w:rPr>
        <w:t>the</w:t>
      </w:r>
      <w:r w:rsidRPr="00C51ACB">
        <w:rPr>
          <w:rFonts w:ascii="Verdana" w:hAnsi="Verdana"/>
          <w:sz w:val="19"/>
          <w:szCs w:val="19"/>
        </w:rPr>
        <w:t xml:space="preserve"> Indian</w:t>
      </w:r>
      <w:r w:rsidR="00137EC0" w:rsidRPr="00C51ACB">
        <w:rPr>
          <w:rFonts w:ascii="Verdana" w:hAnsi="Verdana"/>
          <w:sz w:val="19"/>
          <w:szCs w:val="19"/>
        </w:rPr>
        <w:t xml:space="preserve"> Constitution guarantees to every citizen</w:t>
      </w:r>
      <w:r w:rsidR="00A60ED7" w:rsidRPr="00C51ACB">
        <w:rPr>
          <w:rFonts w:ascii="Verdana" w:hAnsi="Verdana"/>
          <w:sz w:val="19"/>
          <w:szCs w:val="19"/>
        </w:rPr>
        <w:t xml:space="preserve"> a fundamental right to access public spaces without discrimination on prohibited grounds.</w:t>
      </w:r>
      <w:r w:rsidRPr="00C51ACB">
        <w:rPr>
          <w:rFonts w:ascii="Verdana" w:hAnsi="Verdana"/>
          <w:sz w:val="19"/>
          <w:szCs w:val="19"/>
        </w:rPr>
        <w:t xml:space="preserve"> </w:t>
      </w:r>
      <w:r w:rsidR="00A2381A" w:rsidRPr="00C51ACB">
        <w:rPr>
          <w:rFonts w:ascii="Verdana" w:hAnsi="Verdana"/>
          <w:sz w:val="19"/>
          <w:szCs w:val="19"/>
        </w:rPr>
        <w:t>Article 15(2)</w:t>
      </w:r>
      <w:r w:rsidRPr="00C51ACB">
        <w:rPr>
          <w:rFonts w:ascii="Verdana" w:hAnsi="Verdana"/>
          <w:sz w:val="19"/>
          <w:szCs w:val="19"/>
        </w:rPr>
        <w:t xml:space="preserve"> of the</w:t>
      </w:r>
      <w:r w:rsidR="00CB1665" w:rsidRPr="00C51ACB">
        <w:rPr>
          <w:rFonts w:ascii="Verdana" w:hAnsi="Verdana"/>
          <w:sz w:val="19"/>
          <w:szCs w:val="19"/>
        </w:rPr>
        <w:t xml:space="preserve"> </w:t>
      </w:r>
      <w:r w:rsidR="00965514">
        <w:rPr>
          <w:rFonts w:ascii="Verdana" w:hAnsi="Verdana"/>
          <w:sz w:val="19"/>
          <w:szCs w:val="19"/>
        </w:rPr>
        <w:t xml:space="preserve">Indian </w:t>
      </w:r>
      <w:r w:rsidR="00A2381A" w:rsidRPr="00C51ACB">
        <w:rPr>
          <w:rFonts w:ascii="Verdana" w:hAnsi="Verdana"/>
          <w:sz w:val="19"/>
          <w:szCs w:val="19"/>
        </w:rPr>
        <w:t xml:space="preserve">Constitution </w:t>
      </w:r>
      <w:r w:rsidR="004949BD" w:rsidRPr="00C51ACB">
        <w:rPr>
          <w:rFonts w:ascii="Verdana" w:hAnsi="Verdana"/>
          <w:sz w:val="19"/>
          <w:szCs w:val="19"/>
        </w:rPr>
        <w:t>prohibits discrimination</w:t>
      </w:r>
      <w:r w:rsidR="00084A0E" w:rsidRPr="00C51ACB">
        <w:rPr>
          <w:rFonts w:ascii="Verdana" w:hAnsi="Verdana"/>
          <w:sz w:val="19"/>
          <w:szCs w:val="19"/>
        </w:rPr>
        <w:t xml:space="preserve"> </w:t>
      </w:r>
      <w:r w:rsidR="00A2381A" w:rsidRPr="00C51ACB">
        <w:rPr>
          <w:rFonts w:ascii="Verdana" w:hAnsi="Verdana"/>
          <w:sz w:val="19"/>
          <w:szCs w:val="19"/>
        </w:rPr>
        <w:t xml:space="preserve">in </w:t>
      </w:r>
      <w:r w:rsidR="00A60ED7" w:rsidRPr="00C51ACB">
        <w:rPr>
          <w:rFonts w:ascii="Verdana" w:hAnsi="Verdana"/>
          <w:sz w:val="19"/>
          <w:szCs w:val="19"/>
        </w:rPr>
        <w:t>“</w:t>
      </w:r>
      <w:r w:rsidR="00A2381A" w:rsidRPr="00C51ACB">
        <w:rPr>
          <w:rFonts w:ascii="Verdana" w:hAnsi="Verdana"/>
          <w:sz w:val="19"/>
          <w:szCs w:val="19"/>
        </w:rPr>
        <w:t xml:space="preserve">access </w:t>
      </w:r>
      <w:r w:rsidR="004949BD" w:rsidRPr="00C51ACB">
        <w:rPr>
          <w:rFonts w:ascii="Verdana" w:hAnsi="Verdana"/>
          <w:sz w:val="19"/>
          <w:szCs w:val="19"/>
        </w:rPr>
        <w:t xml:space="preserve">to </w:t>
      </w:r>
      <w:r w:rsidR="00A60ED7" w:rsidRPr="00C51ACB">
        <w:rPr>
          <w:rFonts w:ascii="Verdana" w:hAnsi="Verdana"/>
          <w:sz w:val="19"/>
          <w:szCs w:val="19"/>
        </w:rPr>
        <w:t xml:space="preserve">shops, public restaurants, hotels, and </w:t>
      </w:r>
      <w:r w:rsidR="004949BD" w:rsidRPr="00C51ACB">
        <w:rPr>
          <w:rFonts w:ascii="Verdana" w:hAnsi="Verdana"/>
          <w:sz w:val="19"/>
          <w:szCs w:val="19"/>
        </w:rPr>
        <w:t>places of public entertainment</w:t>
      </w:r>
      <w:r w:rsidR="00A60ED7" w:rsidRPr="00C51ACB">
        <w:rPr>
          <w:rFonts w:ascii="Verdana" w:hAnsi="Verdana"/>
          <w:sz w:val="19"/>
          <w:szCs w:val="19"/>
        </w:rPr>
        <w:t>”</w:t>
      </w:r>
      <w:r w:rsidR="004949BD" w:rsidRPr="00C51ACB">
        <w:rPr>
          <w:rFonts w:ascii="Verdana" w:hAnsi="Verdana"/>
          <w:sz w:val="19"/>
          <w:szCs w:val="19"/>
        </w:rPr>
        <w:t xml:space="preserve"> </w:t>
      </w:r>
      <w:r w:rsidR="00137EC0" w:rsidRPr="00C51ACB">
        <w:rPr>
          <w:rFonts w:ascii="Verdana" w:hAnsi="Verdana"/>
          <w:sz w:val="19"/>
          <w:szCs w:val="19"/>
        </w:rPr>
        <w:t xml:space="preserve">or in “the use of wells, tanks, bathing </w:t>
      </w:r>
      <w:r w:rsidR="00137EC0" w:rsidRPr="000F2E2F">
        <w:rPr>
          <w:rFonts w:ascii="Verdana" w:hAnsi="Verdana"/>
          <w:i/>
          <w:sz w:val="19"/>
          <w:szCs w:val="19"/>
        </w:rPr>
        <w:t>ghats</w:t>
      </w:r>
      <w:r w:rsidR="00137EC0" w:rsidRPr="00C51ACB">
        <w:rPr>
          <w:rFonts w:ascii="Verdana" w:hAnsi="Verdana"/>
          <w:sz w:val="19"/>
          <w:szCs w:val="19"/>
        </w:rPr>
        <w:t>,</w:t>
      </w:r>
      <w:r w:rsidR="006C2935">
        <w:rPr>
          <w:rStyle w:val="FootnoteReference"/>
          <w:rFonts w:ascii="Verdana" w:hAnsi="Verdana"/>
          <w:sz w:val="19"/>
          <w:szCs w:val="19"/>
        </w:rPr>
        <w:footnoteReference w:id="8"/>
      </w:r>
      <w:r w:rsidR="00137EC0" w:rsidRPr="00C51ACB">
        <w:rPr>
          <w:rFonts w:ascii="Verdana" w:hAnsi="Verdana"/>
          <w:sz w:val="19"/>
          <w:szCs w:val="19"/>
        </w:rPr>
        <w:t xml:space="preserve"> roads and places of public resort maintained wholly or partly out of State funds or dedicated to the use of the general public”, </w:t>
      </w:r>
      <w:r w:rsidR="00A60ED7" w:rsidRPr="00C51ACB">
        <w:rPr>
          <w:rFonts w:ascii="Verdana" w:hAnsi="Verdana"/>
          <w:sz w:val="19"/>
          <w:szCs w:val="19"/>
        </w:rPr>
        <w:t>on the basis of religion, caste, race, sex, place of birth</w:t>
      </w:r>
      <w:r w:rsidR="004949BD" w:rsidRPr="00C51ACB">
        <w:rPr>
          <w:rFonts w:ascii="Verdana" w:hAnsi="Verdana"/>
          <w:sz w:val="19"/>
          <w:szCs w:val="19"/>
        </w:rPr>
        <w:t>.</w:t>
      </w:r>
      <w:r w:rsidR="00CB1665" w:rsidRPr="00C51ACB">
        <w:rPr>
          <w:rStyle w:val="FootnoteReference"/>
          <w:rFonts w:ascii="Verdana" w:hAnsi="Verdana"/>
          <w:sz w:val="19"/>
          <w:szCs w:val="19"/>
        </w:rPr>
        <w:footnoteReference w:id="9"/>
      </w:r>
      <w:r w:rsidR="00ED280F" w:rsidRPr="00C51ACB">
        <w:rPr>
          <w:rFonts w:ascii="Verdana" w:hAnsi="Verdana"/>
          <w:sz w:val="19"/>
          <w:szCs w:val="19"/>
        </w:rPr>
        <w:t xml:space="preserve"> The Supreme Court has expanded this list of </w:t>
      </w:r>
      <w:r w:rsidR="00A60ED7" w:rsidRPr="00C51ACB">
        <w:rPr>
          <w:rFonts w:ascii="Verdana" w:hAnsi="Verdana"/>
          <w:sz w:val="19"/>
          <w:szCs w:val="19"/>
        </w:rPr>
        <w:t>prohibited categories for discrimination</w:t>
      </w:r>
      <w:r w:rsidR="00ED280F" w:rsidRPr="00C51ACB">
        <w:rPr>
          <w:rFonts w:ascii="Verdana" w:hAnsi="Verdana"/>
          <w:sz w:val="19"/>
          <w:szCs w:val="19"/>
        </w:rPr>
        <w:t xml:space="preserve"> to include </w:t>
      </w:r>
      <w:r w:rsidR="009B2FC2" w:rsidRPr="00C51ACB">
        <w:rPr>
          <w:rFonts w:ascii="Verdana" w:hAnsi="Verdana"/>
          <w:sz w:val="19"/>
          <w:szCs w:val="19"/>
        </w:rPr>
        <w:t>gender identity</w:t>
      </w:r>
      <w:r w:rsidR="00ED280F" w:rsidRPr="00C51ACB">
        <w:rPr>
          <w:rFonts w:ascii="Verdana" w:eastAsia="Garamond" w:hAnsi="Verdana" w:cs="Garamond"/>
          <w:sz w:val="19"/>
          <w:szCs w:val="19"/>
          <w:vertAlign w:val="superscript"/>
        </w:rPr>
        <w:footnoteReference w:id="10"/>
      </w:r>
      <w:r w:rsidR="00ED280F" w:rsidRPr="00C51ACB">
        <w:rPr>
          <w:rFonts w:ascii="Verdana" w:eastAsia="Garamond" w:hAnsi="Verdana" w:cs="Garamond"/>
          <w:sz w:val="19"/>
          <w:szCs w:val="19"/>
        </w:rPr>
        <w:t xml:space="preserve"> and </w:t>
      </w:r>
      <w:r w:rsidR="009B2FC2" w:rsidRPr="00C51ACB">
        <w:rPr>
          <w:rFonts w:ascii="Verdana" w:eastAsia="Garamond" w:hAnsi="Verdana" w:cs="Garamond"/>
          <w:sz w:val="19"/>
          <w:szCs w:val="19"/>
        </w:rPr>
        <w:t>sexual orientation</w:t>
      </w:r>
      <w:r w:rsidR="00ED280F" w:rsidRPr="00C51ACB">
        <w:rPr>
          <w:rFonts w:ascii="Verdana" w:eastAsia="Garamond" w:hAnsi="Verdana" w:cs="Garamond"/>
          <w:sz w:val="19"/>
          <w:szCs w:val="19"/>
        </w:rPr>
        <w:t>.</w:t>
      </w:r>
      <w:r w:rsidR="00ED280F" w:rsidRPr="00C51ACB">
        <w:rPr>
          <w:rFonts w:ascii="Verdana" w:eastAsia="Garamond" w:hAnsi="Verdana" w:cs="Garamond"/>
          <w:sz w:val="19"/>
          <w:szCs w:val="19"/>
          <w:vertAlign w:val="superscript"/>
        </w:rPr>
        <w:footnoteReference w:id="11"/>
      </w:r>
      <w:r w:rsidR="00ED280F" w:rsidRPr="00C51ACB">
        <w:rPr>
          <w:rFonts w:ascii="Verdana" w:eastAsia="Garamond" w:hAnsi="Verdana" w:cs="Garamond"/>
          <w:sz w:val="19"/>
          <w:szCs w:val="19"/>
        </w:rPr>
        <w:t xml:space="preserve"> </w:t>
      </w:r>
    </w:p>
    <w:p w14:paraId="4F5809C0" w14:textId="08D24B1A" w:rsidR="00B22DCE" w:rsidRPr="00C51ACB" w:rsidRDefault="00462743" w:rsidP="00FB13F5">
      <w:pPr>
        <w:spacing w:line="240" w:lineRule="auto"/>
        <w:rPr>
          <w:rFonts w:ascii="Verdana" w:hAnsi="Verdana"/>
          <w:sz w:val="19"/>
          <w:szCs w:val="19"/>
        </w:rPr>
      </w:pPr>
      <w:r w:rsidRPr="00C51ACB">
        <w:rPr>
          <w:rFonts w:ascii="Verdana" w:hAnsi="Verdana"/>
          <w:sz w:val="19"/>
          <w:szCs w:val="19"/>
        </w:rPr>
        <w:lastRenderedPageBreak/>
        <w:t>The prohibition of discrimination on listed grounds to a variety of listed public spaces extends to spaces “dedicated to the use of the general public”</w:t>
      </w:r>
      <w:r w:rsidR="00325168">
        <w:rPr>
          <w:rFonts w:ascii="Verdana" w:hAnsi="Verdana"/>
          <w:sz w:val="19"/>
          <w:szCs w:val="19"/>
        </w:rPr>
        <w:t>,</w:t>
      </w:r>
      <w:r w:rsidRPr="00C51ACB">
        <w:rPr>
          <w:rFonts w:ascii="Verdana" w:hAnsi="Verdana"/>
          <w:sz w:val="19"/>
          <w:szCs w:val="19"/>
        </w:rPr>
        <w:t xml:space="preserve"> regardless of whether they are fund</w:t>
      </w:r>
      <w:r w:rsidR="00B57CBB">
        <w:rPr>
          <w:rFonts w:ascii="Verdana" w:hAnsi="Verdana"/>
          <w:sz w:val="19"/>
          <w:szCs w:val="19"/>
        </w:rPr>
        <w:t>ed</w:t>
      </w:r>
      <w:r w:rsidRPr="00C51ACB">
        <w:rPr>
          <w:rFonts w:ascii="Verdana" w:hAnsi="Verdana"/>
          <w:sz w:val="19"/>
          <w:szCs w:val="19"/>
        </w:rPr>
        <w:t xml:space="preserve"> by the state. The ICJ also submits that the </w:t>
      </w:r>
      <w:r w:rsidR="0031000B" w:rsidRPr="00C51ACB">
        <w:rPr>
          <w:rFonts w:ascii="Verdana" w:hAnsi="Verdana"/>
          <w:sz w:val="19"/>
          <w:szCs w:val="19"/>
        </w:rPr>
        <w:t>list of public spaces provided is non-exhaustive and extends to analogous public spaces</w:t>
      </w:r>
      <w:r w:rsidR="00325168">
        <w:rPr>
          <w:rFonts w:ascii="Verdana" w:hAnsi="Verdana"/>
          <w:sz w:val="19"/>
          <w:szCs w:val="19"/>
        </w:rPr>
        <w:t>,</w:t>
      </w:r>
      <w:r w:rsidR="0031000B" w:rsidRPr="00C51ACB">
        <w:rPr>
          <w:rFonts w:ascii="Verdana" w:hAnsi="Verdana"/>
          <w:sz w:val="19"/>
          <w:szCs w:val="19"/>
        </w:rPr>
        <w:t xml:space="preserve"> such as sanitation and water facilities</w:t>
      </w:r>
      <w:r w:rsidR="00B57CBB">
        <w:rPr>
          <w:rFonts w:ascii="Verdana" w:hAnsi="Verdana"/>
          <w:sz w:val="19"/>
          <w:szCs w:val="19"/>
        </w:rPr>
        <w:t>,</w:t>
      </w:r>
      <w:r w:rsidR="0031000B" w:rsidRPr="00C51ACB">
        <w:rPr>
          <w:rFonts w:ascii="Verdana" w:hAnsi="Verdana"/>
          <w:sz w:val="19"/>
          <w:szCs w:val="19"/>
        </w:rPr>
        <w:t xml:space="preserve"> and public transport.</w:t>
      </w:r>
    </w:p>
    <w:p w14:paraId="37F73126" w14:textId="5B8C2852" w:rsidR="004F1660" w:rsidRPr="00C51ACB" w:rsidRDefault="00D7417B" w:rsidP="00FB13F5">
      <w:pPr>
        <w:spacing w:line="240" w:lineRule="auto"/>
        <w:rPr>
          <w:rFonts w:ascii="Verdana" w:hAnsi="Verdana"/>
          <w:sz w:val="19"/>
          <w:szCs w:val="19"/>
        </w:rPr>
      </w:pPr>
      <w:r w:rsidRPr="00C51ACB">
        <w:rPr>
          <w:rFonts w:ascii="Verdana" w:hAnsi="Verdana"/>
          <w:sz w:val="19"/>
          <w:szCs w:val="19"/>
        </w:rPr>
        <w:t>T</w:t>
      </w:r>
      <w:r w:rsidR="00B22DCE" w:rsidRPr="00C51ACB">
        <w:rPr>
          <w:rFonts w:ascii="Verdana" w:hAnsi="Verdana"/>
          <w:sz w:val="19"/>
          <w:szCs w:val="19"/>
        </w:rPr>
        <w:t xml:space="preserve">he ICJ has examined access to public spaces that were most frequently cited as sites of violence and discrimination by the interviewees. These include streets and parks that are otherwise open to the public (whether publicly or privately owned and maintained); public transport (such as buses, trains, metro, railways, and airways); </w:t>
      </w:r>
      <w:r w:rsidR="00E82F09" w:rsidRPr="00C51ACB">
        <w:rPr>
          <w:rFonts w:ascii="Verdana" w:hAnsi="Verdana"/>
          <w:sz w:val="19"/>
          <w:szCs w:val="19"/>
        </w:rPr>
        <w:t xml:space="preserve">gendered </w:t>
      </w:r>
      <w:r w:rsidR="00B22DCE" w:rsidRPr="00C51ACB">
        <w:rPr>
          <w:rFonts w:ascii="Verdana" w:hAnsi="Verdana"/>
          <w:sz w:val="19"/>
          <w:szCs w:val="19"/>
        </w:rPr>
        <w:t>spaces within any public spaces (such as toilets, or areas that control access to single sex spaces such as security queues); malls and shopping centres; and places and events of cultural and religious importance.</w:t>
      </w:r>
      <w:r w:rsidRPr="00C51ACB">
        <w:rPr>
          <w:rFonts w:ascii="Verdana" w:hAnsi="Verdana"/>
          <w:sz w:val="19"/>
          <w:szCs w:val="19"/>
        </w:rPr>
        <w:t xml:space="preserve"> </w:t>
      </w:r>
    </w:p>
    <w:p w14:paraId="356FDC28" w14:textId="5AD20FCC" w:rsidR="00D7417B" w:rsidRPr="00C51ACB" w:rsidRDefault="00D7417B" w:rsidP="00FB13F5">
      <w:pPr>
        <w:spacing w:line="240" w:lineRule="auto"/>
        <w:rPr>
          <w:rFonts w:ascii="Verdana" w:hAnsi="Verdana"/>
          <w:sz w:val="19"/>
          <w:szCs w:val="19"/>
        </w:rPr>
      </w:pPr>
      <w:r w:rsidRPr="00C51ACB">
        <w:rPr>
          <w:rFonts w:ascii="Verdana" w:hAnsi="Verdana"/>
          <w:sz w:val="19"/>
          <w:szCs w:val="19"/>
        </w:rPr>
        <w:t xml:space="preserve">In this submission, the ICJ will focus on inadequate access to </w:t>
      </w:r>
      <w:r w:rsidR="00D67EB7" w:rsidRPr="00C51ACB">
        <w:rPr>
          <w:rFonts w:ascii="Verdana" w:hAnsi="Verdana"/>
          <w:sz w:val="19"/>
          <w:szCs w:val="19"/>
        </w:rPr>
        <w:t xml:space="preserve">public </w:t>
      </w:r>
      <w:r w:rsidRPr="00C51ACB">
        <w:rPr>
          <w:rFonts w:ascii="Verdana" w:hAnsi="Verdana"/>
          <w:sz w:val="19"/>
          <w:szCs w:val="19"/>
        </w:rPr>
        <w:t>toilets</w:t>
      </w:r>
      <w:r w:rsidR="00D67EB7" w:rsidRPr="00C51ACB">
        <w:rPr>
          <w:rFonts w:ascii="Verdana" w:hAnsi="Verdana"/>
          <w:sz w:val="19"/>
          <w:szCs w:val="19"/>
        </w:rPr>
        <w:t xml:space="preserve"> on the roads, public toilets in public transport, </w:t>
      </w:r>
      <w:r w:rsidR="00161090">
        <w:rPr>
          <w:rFonts w:ascii="Verdana" w:hAnsi="Verdana"/>
          <w:sz w:val="19"/>
          <w:szCs w:val="19"/>
        </w:rPr>
        <w:t xml:space="preserve">public </w:t>
      </w:r>
      <w:r w:rsidR="00D67EB7" w:rsidRPr="00C51ACB">
        <w:rPr>
          <w:rFonts w:ascii="Verdana" w:hAnsi="Verdana"/>
          <w:sz w:val="19"/>
          <w:szCs w:val="19"/>
        </w:rPr>
        <w:t>toilets in</w:t>
      </w:r>
      <w:r w:rsidR="00161090">
        <w:rPr>
          <w:rFonts w:ascii="Verdana" w:hAnsi="Verdana"/>
          <w:sz w:val="19"/>
          <w:szCs w:val="19"/>
        </w:rPr>
        <w:t xml:space="preserve"> </w:t>
      </w:r>
      <w:r w:rsidR="00161090" w:rsidRPr="00C51ACB">
        <w:rPr>
          <w:rFonts w:ascii="Verdana" w:hAnsi="Verdana"/>
          <w:sz w:val="19"/>
          <w:szCs w:val="19"/>
        </w:rPr>
        <w:t xml:space="preserve">places </w:t>
      </w:r>
      <w:r w:rsidR="00161090">
        <w:rPr>
          <w:rFonts w:ascii="Verdana" w:hAnsi="Verdana"/>
          <w:sz w:val="19"/>
          <w:szCs w:val="19"/>
        </w:rPr>
        <w:t xml:space="preserve">of </w:t>
      </w:r>
      <w:r w:rsidR="00161090" w:rsidRPr="00C51ACB">
        <w:rPr>
          <w:rFonts w:ascii="Verdana" w:hAnsi="Verdana"/>
          <w:sz w:val="19"/>
          <w:szCs w:val="19"/>
        </w:rPr>
        <w:t>religious importance</w:t>
      </w:r>
      <w:r w:rsidR="00161090">
        <w:rPr>
          <w:rFonts w:ascii="Verdana" w:hAnsi="Verdana"/>
          <w:sz w:val="19"/>
          <w:szCs w:val="19"/>
        </w:rPr>
        <w:t xml:space="preserve">, toilets in </w:t>
      </w:r>
      <w:r w:rsidR="00653714">
        <w:rPr>
          <w:rFonts w:ascii="Verdana" w:hAnsi="Verdana"/>
          <w:sz w:val="19"/>
          <w:szCs w:val="19"/>
        </w:rPr>
        <w:t>schools and</w:t>
      </w:r>
      <w:r w:rsidR="00161090">
        <w:rPr>
          <w:rFonts w:ascii="Verdana" w:hAnsi="Verdana"/>
          <w:sz w:val="19"/>
          <w:szCs w:val="19"/>
        </w:rPr>
        <w:t xml:space="preserve"> universities and</w:t>
      </w:r>
      <w:r w:rsidR="00653714">
        <w:rPr>
          <w:rFonts w:ascii="Verdana" w:hAnsi="Verdana"/>
          <w:sz w:val="19"/>
          <w:szCs w:val="19"/>
        </w:rPr>
        <w:t xml:space="preserve"> toilets in workplaces</w:t>
      </w:r>
      <w:r w:rsidR="00241ACC">
        <w:rPr>
          <w:rFonts w:ascii="Verdana" w:hAnsi="Verdana"/>
          <w:sz w:val="19"/>
          <w:szCs w:val="19"/>
        </w:rPr>
        <w:t>,</w:t>
      </w:r>
      <w:r w:rsidRPr="00C51ACB">
        <w:rPr>
          <w:rFonts w:ascii="Verdana" w:hAnsi="Verdana"/>
          <w:sz w:val="19"/>
          <w:szCs w:val="19"/>
        </w:rPr>
        <w:t xml:space="preserve"> </w:t>
      </w:r>
      <w:r w:rsidR="003E0716" w:rsidRPr="00C51ACB">
        <w:rPr>
          <w:rFonts w:ascii="Verdana" w:hAnsi="Verdana"/>
          <w:sz w:val="19"/>
          <w:szCs w:val="19"/>
        </w:rPr>
        <w:t>faced by transgender</w:t>
      </w:r>
      <w:r w:rsidR="00077D25">
        <w:rPr>
          <w:rFonts w:ascii="Verdana" w:hAnsi="Verdana"/>
          <w:sz w:val="19"/>
          <w:szCs w:val="19"/>
        </w:rPr>
        <w:t xml:space="preserve"> </w:t>
      </w:r>
      <w:r w:rsidR="00965514">
        <w:rPr>
          <w:rFonts w:ascii="Verdana" w:hAnsi="Verdana"/>
          <w:sz w:val="19"/>
          <w:szCs w:val="19"/>
        </w:rPr>
        <w:t xml:space="preserve">persons </w:t>
      </w:r>
      <w:r w:rsidR="00077D25">
        <w:rPr>
          <w:rFonts w:ascii="Verdana" w:hAnsi="Verdana"/>
          <w:sz w:val="19"/>
          <w:szCs w:val="19"/>
        </w:rPr>
        <w:t>and non-binary</w:t>
      </w:r>
      <w:r w:rsidR="003E0716" w:rsidRPr="00C51ACB">
        <w:rPr>
          <w:rFonts w:ascii="Verdana" w:hAnsi="Verdana"/>
          <w:sz w:val="19"/>
          <w:szCs w:val="19"/>
        </w:rPr>
        <w:t xml:space="preserve"> persons</w:t>
      </w:r>
      <w:r w:rsidRPr="00C51ACB">
        <w:rPr>
          <w:rFonts w:ascii="Verdana" w:hAnsi="Verdana"/>
          <w:sz w:val="19"/>
          <w:szCs w:val="19"/>
        </w:rPr>
        <w:t>.</w:t>
      </w:r>
      <w:r w:rsidR="00D67EB7" w:rsidRPr="00C51ACB">
        <w:rPr>
          <w:rFonts w:ascii="Verdana" w:hAnsi="Verdana"/>
          <w:sz w:val="19"/>
          <w:szCs w:val="19"/>
        </w:rPr>
        <w:t xml:space="preserve"> The ICJ will also discuss the related status and impact of right to sanitation on right to water. </w:t>
      </w:r>
    </w:p>
    <w:p w14:paraId="2BA20935" w14:textId="6981B227" w:rsidR="00EF0A1C" w:rsidRPr="00C51ACB" w:rsidRDefault="00EF0A1C" w:rsidP="00FB13F5">
      <w:pPr>
        <w:pStyle w:val="Heading1"/>
        <w:numPr>
          <w:ilvl w:val="0"/>
          <w:numId w:val="26"/>
        </w:numPr>
        <w:spacing w:line="240" w:lineRule="auto"/>
        <w:rPr>
          <w:rFonts w:ascii="Verdana" w:hAnsi="Verdana"/>
          <w:b/>
          <w:color w:val="auto"/>
          <w:sz w:val="19"/>
          <w:szCs w:val="19"/>
        </w:rPr>
      </w:pPr>
      <w:r w:rsidRPr="00C51ACB">
        <w:rPr>
          <w:rFonts w:ascii="Verdana" w:hAnsi="Verdana"/>
          <w:b/>
          <w:color w:val="auto"/>
          <w:sz w:val="19"/>
          <w:szCs w:val="19"/>
        </w:rPr>
        <w:t>Please describe your involvement in ensuring or improving access to water and sanitation in various public spaces (e.g. streets and squares, markets, bus stations, train stations and airports), including details of any past, current, or future projects in this area.</w:t>
      </w:r>
    </w:p>
    <w:p w14:paraId="2C6C79D6" w14:textId="0D75E82E" w:rsidR="00F96C74" w:rsidRDefault="00D7417B" w:rsidP="00FB13F5">
      <w:pPr>
        <w:spacing w:line="240" w:lineRule="auto"/>
        <w:rPr>
          <w:rFonts w:ascii="Verdana" w:hAnsi="Verdana"/>
          <w:sz w:val="19"/>
          <w:szCs w:val="19"/>
        </w:rPr>
      </w:pPr>
      <w:r w:rsidRPr="00C51ACB">
        <w:rPr>
          <w:rFonts w:ascii="Verdana" w:hAnsi="Verdana"/>
          <w:sz w:val="19"/>
          <w:szCs w:val="19"/>
        </w:rPr>
        <w:t xml:space="preserve">Through this project, </w:t>
      </w:r>
      <w:r w:rsidR="006837B9" w:rsidRPr="00C51ACB">
        <w:rPr>
          <w:rFonts w:ascii="Verdana" w:hAnsi="Verdana"/>
          <w:sz w:val="19"/>
          <w:szCs w:val="19"/>
        </w:rPr>
        <w:t>the ICJ aims, among others,</w:t>
      </w:r>
      <w:r w:rsidR="00875A25" w:rsidRPr="00C51ACB">
        <w:rPr>
          <w:rFonts w:ascii="Verdana" w:hAnsi="Verdana"/>
          <w:sz w:val="19"/>
          <w:szCs w:val="19"/>
        </w:rPr>
        <w:t xml:space="preserve"> to</w:t>
      </w:r>
      <w:r w:rsidR="00F96C74" w:rsidRPr="00C51ACB">
        <w:rPr>
          <w:rFonts w:ascii="Verdana" w:hAnsi="Verdana"/>
          <w:sz w:val="19"/>
          <w:szCs w:val="19"/>
        </w:rPr>
        <w:t xml:space="preserve"> </w:t>
      </w:r>
      <w:r w:rsidR="00970849">
        <w:rPr>
          <w:rFonts w:ascii="Verdana" w:hAnsi="Verdana"/>
          <w:sz w:val="19"/>
          <w:szCs w:val="19"/>
        </w:rPr>
        <w:t xml:space="preserve">raise concern about the </w:t>
      </w:r>
      <w:r w:rsidRPr="00C51ACB">
        <w:rPr>
          <w:rFonts w:ascii="Verdana" w:hAnsi="Verdana"/>
          <w:sz w:val="19"/>
          <w:szCs w:val="19"/>
        </w:rPr>
        <w:t xml:space="preserve">impact of inadequate access to water and sanitation </w:t>
      </w:r>
      <w:r w:rsidR="00970849">
        <w:rPr>
          <w:rFonts w:ascii="Verdana" w:hAnsi="Verdana"/>
          <w:sz w:val="19"/>
          <w:szCs w:val="19"/>
        </w:rPr>
        <w:t xml:space="preserve">experienced </w:t>
      </w:r>
      <w:r w:rsidRPr="00C51ACB">
        <w:rPr>
          <w:rFonts w:ascii="Verdana" w:hAnsi="Verdana"/>
          <w:sz w:val="19"/>
          <w:szCs w:val="19"/>
        </w:rPr>
        <w:t xml:space="preserve">by </w:t>
      </w:r>
      <w:r w:rsidR="005A0237">
        <w:rPr>
          <w:rFonts w:ascii="Verdana" w:hAnsi="Verdana"/>
          <w:sz w:val="19"/>
          <w:szCs w:val="19"/>
        </w:rPr>
        <w:t xml:space="preserve">LGBTQ persons </w:t>
      </w:r>
      <w:r w:rsidRPr="00C51ACB">
        <w:rPr>
          <w:rFonts w:ascii="Verdana" w:hAnsi="Verdana"/>
          <w:sz w:val="19"/>
          <w:szCs w:val="19"/>
        </w:rPr>
        <w:t xml:space="preserve">in light of </w:t>
      </w:r>
      <w:r w:rsidR="00D67EB7" w:rsidRPr="00C51ACB">
        <w:rPr>
          <w:rFonts w:ascii="Verdana" w:hAnsi="Verdana"/>
          <w:sz w:val="19"/>
          <w:szCs w:val="19"/>
        </w:rPr>
        <w:t>India’s</w:t>
      </w:r>
      <w:r w:rsidRPr="00C51ACB">
        <w:rPr>
          <w:rFonts w:ascii="Verdana" w:hAnsi="Verdana"/>
          <w:sz w:val="19"/>
          <w:szCs w:val="19"/>
        </w:rPr>
        <w:t xml:space="preserve"> international legal obligations</w:t>
      </w:r>
      <w:r w:rsidR="00875A25" w:rsidRPr="00C51ACB">
        <w:rPr>
          <w:rFonts w:ascii="Verdana" w:hAnsi="Verdana"/>
          <w:sz w:val="19"/>
          <w:szCs w:val="19"/>
        </w:rPr>
        <w:t xml:space="preserve">. </w:t>
      </w:r>
      <w:r w:rsidR="004B2E9B" w:rsidRPr="00C51ACB">
        <w:rPr>
          <w:rFonts w:ascii="Verdana" w:hAnsi="Verdana"/>
          <w:sz w:val="19"/>
          <w:szCs w:val="19"/>
        </w:rPr>
        <w:t>The ICJ’s</w:t>
      </w:r>
      <w:r w:rsidR="00B60B20" w:rsidRPr="00C51ACB">
        <w:rPr>
          <w:rFonts w:ascii="Verdana" w:hAnsi="Verdana"/>
          <w:sz w:val="19"/>
          <w:szCs w:val="19"/>
        </w:rPr>
        <w:t xml:space="preserve"> objective</w:t>
      </w:r>
      <w:r w:rsidR="00D67EB7" w:rsidRPr="00C51ACB">
        <w:rPr>
          <w:rFonts w:ascii="Verdana" w:hAnsi="Verdana"/>
          <w:sz w:val="19"/>
          <w:szCs w:val="19"/>
        </w:rPr>
        <w:t xml:space="preserve"> through this project</w:t>
      </w:r>
      <w:r w:rsidR="00875A25" w:rsidRPr="00C51ACB">
        <w:rPr>
          <w:rFonts w:ascii="Verdana" w:hAnsi="Verdana"/>
          <w:sz w:val="19"/>
          <w:szCs w:val="19"/>
        </w:rPr>
        <w:t xml:space="preserve"> is to conduct advocacy</w:t>
      </w:r>
      <w:r w:rsidR="00B60B20" w:rsidRPr="00C51ACB">
        <w:rPr>
          <w:rFonts w:ascii="Verdana" w:hAnsi="Verdana"/>
          <w:sz w:val="19"/>
          <w:szCs w:val="19"/>
        </w:rPr>
        <w:t xml:space="preserve"> with the </w:t>
      </w:r>
      <w:r w:rsidR="006837B9" w:rsidRPr="00C51ACB">
        <w:rPr>
          <w:rFonts w:ascii="Verdana" w:hAnsi="Verdana"/>
          <w:sz w:val="19"/>
          <w:szCs w:val="19"/>
        </w:rPr>
        <w:t xml:space="preserve">Indian </w:t>
      </w:r>
      <w:r w:rsidR="00B60B20" w:rsidRPr="00C51ACB">
        <w:rPr>
          <w:rFonts w:ascii="Verdana" w:hAnsi="Verdana"/>
          <w:sz w:val="19"/>
          <w:szCs w:val="19"/>
        </w:rPr>
        <w:t>State and with the U</w:t>
      </w:r>
      <w:r w:rsidR="004B2E9B" w:rsidRPr="00C51ACB">
        <w:rPr>
          <w:rFonts w:ascii="Verdana" w:hAnsi="Verdana"/>
          <w:sz w:val="19"/>
          <w:szCs w:val="19"/>
        </w:rPr>
        <w:t xml:space="preserve">nited </w:t>
      </w:r>
      <w:r w:rsidR="00B60B20" w:rsidRPr="00C51ACB">
        <w:rPr>
          <w:rFonts w:ascii="Verdana" w:hAnsi="Verdana"/>
          <w:sz w:val="19"/>
          <w:szCs w:val="19"/>
        </w:rPr>
        <w:t>N</w:t>
      </w:r>
      <w:r w:rsidR="004B2E9B" w:rsidRPr="00C51ACB">
        <w:rPr>
          <w:rFonts w:ascii="Verdana" w:hAnsi="Verdana"/>
          <w:sz w:val="19"/>
          <w:szCs w:val="19"/>
        </w:rPr>
        <w:t>ations</w:t>
      </w:r>
      <w:r w:rsidR="00875A25" w:rsidRPr="00C51ACB">
        <w:rPr>
          <w:rFonts w:ascii="Verdana" w:hAnsi="Verdana"/>
          <w:sz w:val="19"/>
          <w:szCs w:val="19"/>
        </w:rPr>
        <w:t xml:space="preserve"> about discriminatory laws and practices</w:t>
      </w:r>
      <w:r w:rsidR="00B60B20" w:rsidRPr="00C51ACB">
        <w:rPr>
          <w:rFonts w:ascii="Verdana" w:hAnsi="Verdana"/>
          <w:sz w:val="19"/>
          <w:szCs w:val="19"/>
        </w:rPr>
        <w:t xml:space="preserve"> faced by </w:t>
      </w:r>
      <w:r w:rsidR="003E0716" w:rsidRPr="00C51ACB">
        <w:rPr>
          <w:rFonts w:ascii="Verdana" w:hAnsi="Verdana"/>
          <w:sz w:val="19"/>
          <w:szCs w:val="19"/>
        </w:rPr>
        <w:t>LGBT</w:t>
      </w:r>
      <w:r w:rsidR="00570BDD">
        <w:rPr>
          <w:rFonts w:ascii="Verdana" w:hAnsi="Verdana"/>
          <w:sz w:val="19"/>
          <w:szCs w:val="19"/>
        </w:rPr>
        <w:t>Q</w:t>
      </w:r>
      <w:r w:rsidR="003E0716" w:rsidRPr="00C51ACB">
        <w:rPr>
          <w:rFonts w:ascii="Verdana" w:hAnsi="Verdana"/>
          <w:sz w:val="19"/>
          <w:szCs w:val="19"/>
        </w:rPr>
        <w:t xml:space="preserve"> persons</w:t>
      </w:r>
      <w:r w:rsidR="006837B9" w:rsidRPr="00C51ACB">
        <w:rPr>
          <w:rFonts w:ascii="Verdana" w:hAnsi="Verdana"/>
          <w:sz w:val="19"/>
          <w:szCs w:val="19"/>
        </w:rPr>
        <w:t xml:space="preserve"> and </w:t>
      </w:r>
      <w:r w:rsidR="00875A25" w:rsidRPr="00C51ACB">
        <w:rPr>
          <w:rFonts w:ascii="Verdana" w:hAnsi="Verdana"/>
          <w:sz w:val="19"/>
          <w:szCs w:val="19"/>
        </w:rPr>
        <w:t>to raise awareness about violence</w:t>
      </w:r>
      <w:r w:rsidR="00B57CBB">
        <w:rPr>
          <w:rFonts w:ascii="Verdana" w:hAnsi="Verdana"/>
          <w:sz w:val="19"/>
          <w:szCs w:val="19"/>
        </w:rPr>
        <w:t xml:space="preserve"> and discrimination</w:t>
      </w:r>
      <w:r w:rsidR="0031000B" w:rsidRPr="00C51ACB">
        <w:rPr>
          <w:rFonts w:ascii="Verdana" w:hAnsi="Verdana"/>
          <w:sz w:val="19"/>
          <w:szCs w:val="19"/>
        </w:rPr>
        <w:t xml:space="preserve"> against LGBT</w:t>
      </w:r>
      <w:r w:rsidR="00570BDD">
        <w:rPr>
          <w:rFonts w:ascii="Verdana" w:hAnsi="Verdana"/>
          <w:sz w:val="19"/>
          <w:szCs w:val="19"/>
        </w:rPr>
        <w:t>Q</w:t>
      </w:r>
      <w:r w:rsidR="0031000B" w:rsidRPr="00C51ACB">
        <w:rPr>
          <w:rFonts w:ascii="Verdana" w:hAnsi="Verdana"/>
          <w:sz w:val="19"/>
          <w:szCs w:val="19"/>
        </w:rPr>
        <w:t xml:space="preserve"> persons</w:t>
      </w:r>
      <w:r w:rsidR="00875A25" w:rsidRPr="00C51ACB">
        <w:rPr>
          <w:rFonts w:ascii="Verdana" w:hAnsi="Verdana"/>
          <w:sz w:val="19"/>
          <w:szCs w:val="19"/>
        </w:rPr>
        <w:t xml:space="preserve">, </w:t>
      </w:r>
      <w:r w:rsidR="00B60B20" w:rsidRPr="00C51ACB">
        <w:rPr>
          <w:rFonts w:ascii="Verdana" w:hAnsi="Verdana"/>
          <w:sz w:val="19"/>
          <w:szCs w:val="19"/>
        </w:rPr>
        <w:t>a</w:t>
      </w:r>
      <w:r w:rsidR="006837B9" w:rsidRPr="00C51ACB">
        <w:rPr>
          <w:rFonts w:ascii="Verdana" w:hAnsi="Verdana"/>
          <w:sz w:val="19"/>
          <w:szCs w:val="19"/>
        </w:rPr>
        <w:t>s well as the</w:t>
      </w:r>
      <w:r w:rsidR="00B60B20" w:rsidRPr="00C51ACB">
        <w:rPr>
          <w:rFonts w:ascii="Verdana" w:hAnsi="Verdana"/>
          <w:sz w:val="19"/>
          <w:szCs w:val="19"/>
        </w:rPr>
        <w:t xml:space="preserve"> remedies available to </w:t>
      </w:r>
      <w:r w:rsidR="00596FA2" w:rsidRPr="00C51ACB">
        <w:rPr>
          <w:rFonts w:ascii="Verdana" w:hAnsi="Verdana"/>
          <w:sz w:val="19"/>
          <w:szCs w:val="19"/>
        </w:rPr>
        <w:t>LGBT</w:t>
      </w:r>
      <w:r w:rsidR="00570BDD">
        <w:rPr>
          <w:rFonts w:ascii="Verdana" w:hAnsi="Verdana"/>
          <w:sz w:val="19"/>
          <w:szCs w:val="19"/>
        </w:rPr>
        <w:t>Q</w:t>
      </w:r>
      <w:r w:rsidR="00B60B20" w:rsidRPr="00C51ACB">
        <w:rPr>
          <w:rFonts w:ascii="Verdana" w:hAnsi="Verdana"/>
          <w:sz w:val="19"/>
          <w:szCs w:val="19"/>
        </w:rPr>
        <w:t xml:space="preserve"> persons,</w:t>
      </w:r>
      <w:r w:rsidR="00875A25" w:rsidRPr="00C51ACB">
        <w:rPr>
          <w:rFonts w:ascii="Verdana" w:hAnsi="Verdana"/>
          <w:sz w:val="19"/>
          <w:szCs w:val="19"/>
        </w:rPr>
        <w:t xml:space="preserve"> through engagement with the judiciary and other legal professionals.</w:t>
      </w:r>
      <w:r w:rsidR="00B83995">
        <w:rPr>
          <w:rStyle w:val="FootnoteReference"/>
          <w:rFonts w:ascii="Verdana" w:hAnsi="Verdana"/>
          <w:sz w:val="19"/>
          <w:szCs w:val="19"/>
        </w:rPr>
        <w:footnoteReference w:id="12"/>
      </w:r>
    </w:p>
    <w:p w14:paraId="7E51BA84" w14:textId="61239B1A" w:rsidR="00EF0A1C" w:rsidRPr="00C51ACB" w:rsidRDefault="00EF0A1C" w:rsidP="00FB13F5">
      <w:pPr>
        <w:pStyle w:val="Heading1"/>
        <w:numPr>
          <w:ilvl w:val="0"/>
          <w:numId w:val="26"/>
        </w:numPr>
        <w:spacing w:line="240" w:lineRule="auto"/>
        <w:rPr>
          <w:rFonts w:ascii="Verdana" w:hAnsi="Verdana"/>
          <w:b/>
          <w:color w:val="auto"/>
          <w:sz w:val="19"/>
          <w:szCs w:val="19"/>
        </w:rPr>
      </w:pPr>
      <w:r w:rsidRPr="00C51ACB">
        <w:rPr>
          <w:rFonts w:ascii="Verdana" w:hAnsi="Verdana"/>
          <w:b/>
          <w:color w:val="auto"/>
          <w:sz w:val="19"/>
          <w:szCs w:val="19"/>
        </w:rPr>
        <w:lastRenderedPageBreak/>
        <w:t xml:space="preserve">Please outline the major difficulties faced by populations needing access </w:t>
      </w:r>
      <w:r w:rsidR="002A5F41" w:rsidRPr="00C51ACB">
        <w:rPr>
          <w:rFonts w:ascii="Verdana" w:hAnsi="Verdana"/>
          <w:b/>
          <w:color w:val="auto"/>
          <w:sz w:val="19"/>
          <w:szCs w:val="19"/>
        </w:rPr>
        <w:t xml:space="preserve">to </w:t>
      </w:r>
      <w:r w:rsidRPr="00C51ACB">
        <w:rPr>
          <w:rFonts w:ascii="Verdana" w:hAnsi="Verdana"/>
          <w:b/>
          <w:color w:val="auto"/>
          <w:sz w:val="19"/>
          <w:szCs w:val="19"/>
        </w:rPr>
        <w:t xml:space="preserve">water and sanitation in public spaces. </w:t>
      </w:r>
    </w:p>
    <w:p w14:paraId="3CA020FB" w14:textId="7AB06148" w:rsidR="00980FDE" w:rsidRPr="00C51ACB" w:rsidRDefault="00FF70B5" w:rsidP="00FB13F5">
      <w:pPr>
        <w:spacing w:line="240" w:lineRule="auto"/>
        <w:rPr>
          <w:rFonts w:ascii="Verdana" w:hAnsi="Verdana"/>
          <w:sz w:val="19"/>
          <w:szCs w:val="19"/>
        </w:rPr>
      </w:pPr>
      <w:r w:rsidRPr="00C51ACB">
        <w:rPr>
          <w:rFonts w:ascii="Verdana" w:hAnsi="Verdana"/>
          <w:sz w:val="19"/>
          <w:szCs w:val="19"/>
        </w:rPr>
        <w:t xml:space="preserve">ICJ’s research </w:t>
      </w:r>
      <w:r w:rsidR="00970849">
        <w:rPr>
          <w:rFonts w:ascii="Verdana" w:hAnsi="Verdana"/>
          <w:sz w:val="19"/>
          <w:szCs w:val="19"/>
        </w:rPr>
        <w:t xml:space="preserve">records that </w:t>
      </w:r>
      <w:r w:rsidR="00DA16E1" w:rsidRPr="00C51ACB">
        <w:rPr>
          <w:rFonts w:ascii="Verdana" w:hAnsi="Verdana"/>
          <w:sz w:val="19"/>
          <w:szCs w:val="19"/>
        </w:rPr>
        <w:t>transgender persons</w:t>
      </w:r>
      <w:r w:rsidR="00570BDD">
        <w:rPr>
          <w:rFonts w:ascii="Verdana" w:hAnsi="Verdana"/>
          <w:sz w:val="19"/>
          <w:szCs w:val="19"/>
        </w:rPr>
        <w:t xml:space="preserve"> and non-binary persons</w:t>
      </w:r>
      <w:r w:rsidRPr="00C51ACB">
        <w:rPr>
          <w:rFonts w:ascii="Verdana" w:hAnsi="Verdana"/>
          <w:sz w:val="19"/>
          <w:szCs w:val="19"/>
        </w:rPr>
        <w:t xml:space="preserve"> </w:t>
      </w:r>
      <w:r w:rsidR="00A14993" w:rsidRPr="00C51ACB">
        <w:rPr>
          <w:rFonts w:ascii="Verdana" w:hAnsi="Verdana"/>
          <w:sz w:val="19"/>
          <w:szCs w:val="19"/>
        </w:rPr>
        <w:t>express difficulties in accessing sanitation facilities in public spaces</w:t>
      </w:r>
      <w:r w:rsidR="00DA16E1" w:rsidRPr="00C51ACB">
        <w:rPr>
          <w:rFonts w:ascii="Verdana" w:hAnsi="Verdana"/>
          <w:sz w:val="19"/>
          <w:szCs w:val="19"/>
        </w:rPr>
        <w:t xml:space="preserve">, </w:t>
      </w:r>
      <w:r w:rsidR="00A14993" w:rsidRPr="00C51ACB">
        <w:rPr>
          <w:rFonts w:ascii="Verdana" w:hAnsi="Verdana"/>
          <w:sz w:val="19"/>
          <w:szCs w:val="19"/>
        </w:rPr>
        <w:t>includ</w:t>
      </w:r>
      <w:r w:rsidR="00DA16E1" w:rsidRPr="00C51ACB">
        <w:rPr>
          <w:rFonts w:ascii="Verdana" w:hAnsi="Verdana"/>
          <w:sz w:val="19"/>
          <w:szCs w:val="19"/>
        </w:rPr>
        <w:t>ing</w:t>
      </w:r>
      <w:r w:rsidR="00A14993" w:rsidRPr="00C51ACB">
        <w:rPr>
          <w:rFonts w:ascii="Verdana" w:hAnsi="Verdana"/>
          <w:sz w:val="19"/>
          <w:szCs w:val="19"/>
        </w:rPr>
        <w:t xml:space="preserve"> inability to access toilets</w:t>
      </w:r>
      <w:r w:rsidR="0031000B" w:rsidRPr="00C51ACB">
        <w:rPr>
          <w:rFonts w:ascii="Verdana" w:hAnsi="Verdana"/>
          <w:sz w:val="19"/>
          <w:szCs w:val="19"/>
        </w:rPr>
        <w:t xml:space="preserve"> (gendered or non-gendered)</w:t>
      </w:r>
      <w:r w:rsidR="00A14993" w:rsidRPr="00C51ACB">
        <w:rPr>
          <w:rFonts w:ascii="Verdana" w:hAnsi="Verdana"/>
          <w:sz w:val="19"/>
          <w:szCs w:val="19"/>
        </w:rPr>
        <w:t xml:space="preserve"> that correspond to their self-identified gender due to infrastructural </w:t>
      </w:r>
      <w:r w:rsidR="001864F3" w:rsidRPr="00C51ACB">
        <w:rPr>
          <w:rFonts w:ascii="Verdana" w:hAnsi="Verdana"/>
          <w:sz w:val="19"/>
          <w:szCs w:val="19"/>
        </w:rPr>
        <w:t>deficiencies</w:t>
      </w:r>
      <w:r w:rsidR="008D470C" w:rsidRPr="00C51ACB">
        <w:rPr>
          <w:rFonts w:ascii="Verdana" w:hAnsi="Verdana"/>
          <w:sz w:val="19"/>
          <w:szCs w:val="19"/>
        </w:rPr>
        <w:t>,</w:t>
      </w:r>
      <w:r w:rsidR="00A14993" w:rsidRPr="00C51ACB">
        <w:rPr>
          <w:rFonts w:ascii="Verdana" w:hAnsi="Verdana"/>
          <w:sz w:val="19"/>
          <w:szCs w:val="19"/>
        </w:rPr>
        <w:t xml:space="preserve"> and risk of gender-based violence</w:t>
      </w:r>
      <w:r w:rsidR="008D470C" w:rsidRPr="00C51ACB">
        <w:rPr>
          <w:rFonts w:ascii="Verdana" w:hAnsi="Verdana"/>
          <w:sz w:val="19"/>
          <w:szCs w:val="19"/>
        </w:rPr>
        <w:t xml:space="preserve"> and harassment.</w:t>
      </w:r>
      <w:r w:rsidR="00B35475">
        <w:rPr>
          <w:rFonts w:ascii="Verdana" w:hAnsi="Verdana"/>
          <w:sz w:val="19"/>
          <w:szCs w:val="19"/>
        </w:rPr>
        <w:t xml:space="preserve"> </w:t>
      </w:r>
      <w:r w:rsidR="0031000B" w:rsidRPr="00C51ACB">
        <w:rPr>
          <w:rFonts w:ascii="Verdana" w:hAnsi="Verdana"/>
          <w:sz w:val="19"/>
          <w:szCs w:val="19"/>
        </w:rPr>
        <w:t xml:space="preserve">Furthermore, some of the problems highlighted by the ICJ’s research will </w:t>
      </w:r>
      <w:r w:rsidR="00970849">
        <w:rPr>
          <w:rFonts w:ascii="Verdana" w:hAnsi="Verdana"/>
          <w:sz w:val="19"/>
          <w:szCs w:val="19"/>
        </w:rPr>
        <w:t xml:space="preserve">typically also </w:t>
      </w:r>
      <w:r w:rsidR="0031000B" w:rsidRPr="00C51ACB">
        <w:rPr>
          <w:rFonts w:ascii="Verdana" w:hAnsi="Verdana"/>
          <w:sz w:val="19"/>
          <w:szCs w:val="19"/>
        </w:rPr>
        <w:t>affect cis-het women</w:t>
      </w:r>
      <w:r w:rsidR="00B57CBB">
        <w:rPr>
          <w:rStyle w:val="FootnoteReference"/>
          <w:rFonts w:ascii="Verdana" w:hAnsi="Verdana"/>
          <w:sz w:val="19"/>
          <w:szCs w:val="19"/>
        </w:rPr>
        <w:footnoteReference w:id="13"/>
      </w:r>
      <w:r w:rsidR="0031000B" w:rsidRPr="00C51ACB">
        <w:rPr>
          <w:rFonts w:ascii="Verdana" w:hAnsi="Verdana"/>
          <w:sz w:val="19"/>
          <w:szCs w:val="19"/>
        </w:rPr>
        <w:t xml:space="preserve"> (such as the risk of sexual violence) and other individuals (such as inadequate access due to poor infrastructure).</w:t>
      </w:r>
    </w:p>
    <w:p w14:paraId="2A26FAE7" w14:textId="36CD3860" w:rsidR="00A34A87" w:rsidRPr="00C51ACB" w:rsidRDefault="0031000B" w:rsidP="000F2E2F">
      <w:pPr>
        <w:spacing w:line="240" w:lineRule="auto"/>
        <w:rPr>
          <w:rFonts w:eastAsia="Times New Roman"/>
        </w:rPr>
      </w:pPr>
      <w:r w:rsidRPr="00C51ACB">
        <w:rPr>
          <w:rFonts w:ascii="Verdana" w:hAnsi="Verdana"/>
          <w:sz w:val="19"/>
          <w:szCs w:val="19"/>
        </w:rPr>
        <w:t>The ICJ’s interviews highlight</w:t>
      </w:r>
      <w:r w:rsidR="00570BDD">
        <w:rPr>
          <w:rFonts w:ascii="Verdana" w:hAnsi="Verdana"/>
          <w:sz w:val="19"/>
          <w:szCs w:val="19"/>
        </w:rPr>
        <w:t>s</w:t>
      </w:r>
      <w:r w:rsidRPr="00C51ACB">
        <w:rPr>
          <w:rFonts w:ascii="Verdana" w:hAnsi="Verdana"/>
          <w:sz w:val="19"/>
          <w:szCs w:val="19"/>
        </w:rPr>
        <w:t xml:space="preserve"> that </w:t>
      </w:r>
      <w:r w:rsidR="00980FDE" w:rsidRPr="00C51ACB">
        <w:rPr>
          <w:rFonts w:ascii="Verdana" w:hAnsi="Verdana"/>
          <w:sz w:val="19"/>
          <w:szCs w:val="19"/>
        </w:rPr>
        <w:t>LGBT</w:t>
      </w:r>
      <w:r w:rsidR="00570BDD">
        <w:rPr>
          <w:rFonts w:ascii="Verdana" w:hAnsi="Verdana"/>
          <w:sz w:val="19"/>
          <w:szCs w:val="19"/>
        </w:rPr>
        <w:t>Q</w:t>
      </w:r>
      <w:r w:rsidR="00980FDE" w:rsidRPr="00C51ACB">
        <w:rPr>
          <w:rFonts w:ascii="Verdana" w:hAnsi="Verdana"/>
          <w:sz w:val="19"/>
          <w:szCs w:val="19"/>
        </w:rPr>
        <w:t xml:space="preserve"> persons</w:t>
      </w:r>
      <w:r w:rsidR="009B2FC2" w:rsidRPr="00C51ACB">
        <w:rPr>
          <w:rFonts w:ascii="Verdana" w:hAnsi="Verdana"/>
          <w:sz w:val="19"/>
          <w:szCs w:val="19"/>
        </w:rPr>
        <w:t>, particularly transgender persons</w:t>
      </w:r>
      <w:r w:rsidR="00570BDD">
        <w:rPr>
          <w:rFonts w:ascii="Verdana" w:hAnsi="Verdana"/>
          <w:sz w:val="19"/>
          <w:szCs w:val="19"/>
        </w:rPr>
        <w:t xml:space="preserve"> and non-binary persons</w:t>
      </w:r>
      <w:r w:rsidR="009B2FC2" w:rsidRPr="00C51ACB">
        <w:rPr>
          <w:rFonts w:ascii="Verdana" w:hAnsi="Verdana"/>
          <w:sz w:val="19"/>
          <w:szCs w:val="19"/>
        </w:rPr>
        <w:t>,</w:t>
      </w:r>
      <w:r w:rsidR="00980FDE" w:rsidRPr="00C51ACB">
        <w:rPr>
          <w:rFonts w:ascii="Verdana" w:hAnsi="Verdana"/>
          <w:sz w:val="19"/>
          <w:szCs w:val="19"/>
        </w:rPr>
        <w:t xml:space="preserve"> face</w:t>
      </w:r>
      <w:r w:rsidR="001A0C3F" w:rsidRPr="00C51ACB">
        <w:rPr>
          <w:rFonts w:ascii="Verdana" w:hAnsi="Verdana"/>
          <w:sz w:val="19"/>
          <w:szCs w:val="19"/>
        </w:rPr>
        <w:t xml:space="preserve"> or are </w:t>
      </w:r>
      <w:r w:rsidR="00A34A87" w:rsidRPr="00C51ACB">
        <w:rPr>
          <w:rFonts w:ascii="Verdana" w:hAnsi="Verdana"/>
          <w:sz w:val="19"/>
          <w:szCs w:val="19"/>
        </w:rPr>
        <w:t xml:space="preserve">at risk </w:t>
      </w:r>
      <w:r w:rsidR="001A0C3F" w:rsidRPr="00C51ACB">
        <w:rPr>
          <w:rFonts w:ascii="Verdana" w:hAnsi="Verdana"/>
          <w:sz w:val="19"/>
          <w:szCs w:val="19"/>
        </w:rPr>
        <w:t>of</w:t>
      </w:r>
      <w:r w:rsidR="00980FDE" w:rsidRPr="00C51ACB">
        <w:rPr>
          <w:rFonts w:ascii="Verdana" w:hAnsi="Verdana"/>
          <w:sz w:val="19"/>
          <w:szCs w:val="19"/>
        </w:rPr>
        <w:t xml:space="preserve"> </w:t>
      </w:r>
      <w:r w:rsidR="00570BDD">
        <w:rPr>
          <w:rFonts w:ascii="Verdana" w:hAnsi="Verdana"/>
          <w:sz w:val="19"/>
          <w:szCs w:val="19"/>
        </w:rPr>
        <w:t xml:space="preserve">facing </w:t>
      </w:r>
      <w:r w:rsidR="001A0C3F" w:rsidRPr="00C51ACB">
        <w:rPr>
          <w:rFonts w:ascii="Verdana" w:hAnsi="Verdana"/>
          <w:sz w:val="19"/>
          <w:szCs w:val="19"/>
        </w:rPr>
        <w:t xml:space="preserve">sexual </w:t>
      </w:r>
      <w:r w:rsidR="00980FDE" w:rsidRPr="00C51ACB">
        <w:rPr>
          <w:rFonts w:ascii="Verdana" w:hAnsi="Verdana"/>
          <w:sz w:val="19"/>
          <w:szCs w:val="19"/>
        </w:rPr>
        <w:t>violence</w:t>
      </w:r>
      <w:r w:rsidR="001A0C3F" w:rsidRPr="00C51ACB">
        <w:rPr>
          <w:rFonts w:ascii="Verdana" w:hAnsi="Verdana"/>
          <w:sz w:val="19"/>
          <w:szCs w:val="19"/>
        </w:rPr>
        <w:t>, sexual</w:t>
      </w:r>
      <w:r w:rsidR="00980FDE" w:rsidRPr="00C51ACB">
        <w:rPr>
          <w:rFonts w:ascii="Verdana" w:hAnsi="Verdana"/>
          <w:sz w:val="19"/>
          <w:szCs w:val="19"/>
        </w:rPr>
        <w:t xml:space="preserve"> harassment</w:t>
      </w:r>
      <w:r w:rsidR="001A0C3F" w:rsidRPr="00C51ACB">
        <w:rPr>
          <w:rFonts w:ascii="Verdana" w:hAnsi="Verdana"/>
          <w:sz w:val="19"/>
          <w:szCs w:val="19"/>
        </w:rPr>
        <w:t>, physical violence and harassment</w:t>
      </w:r>
      <w:r w:rsidR="00980FDE" w:rsidRPr="00C51ACB">
        <w:rPr>
          <w:rFonts w:ascii="Verdana" w:hAnsi="Verdana"/>
          <w:sz w:val="19"/>
          <w:szCs w:val="19"/>
        </w:rPr>
        <w:t xml:space="preserve"> in </w:t>
      </w:r>
      <w:r w:rsidR="00174E39" w:rsidRPr="00C51ACB">
        <w:rPr>
          <w:rFonts w:ascii="Verdana" w:hAnsi="Verdana"/>
          <w:sz w:val="19"/>
          <w:szCs w:val="19"/>
        </w:rPr>
        <w:t>toilets</w:t>
      </w:r>
      <w:r w:rsidR="001A0C3F" w:rsidRPr="00C51ACB">
        <w:rPr>
          <w:rFonts w:ascii="Verdana" w:hAnsi="Verdana"/>
          <w:sz w:val="19"/>
          <w:szCs w:val="19"/>
        </w:rPr>
        <w:t>,</w:t>
      </w:r>
      <w:r w:rsidR="00CF36AF" w:rsidRPr="00C51ACB">
        <w:rPr>
          <w:rFonts w:ascii="Verdana" w:hAnsi="Verdana"/>
          <w:sz w:val="19"/>
          <w:szCs w:val="19"/>
        </w:rPr>
        <w:t xml:space="preserve"> due to gende</w:t>
      </w:r>
      <w:r w:rsidR="001A0C3F" w:rsidRPr="00C51ACB">
        <w:rPr>
          <w:rFonts w:ascii="Verdana" w:hAnsi="Verdana"/>
          <w:sz w:val="19"/>
          <w:szCs w:val="19"/>
        </w:rPr>
        <w:t>r identity</w:t>
      </w:r>
      <w:r w:rsidR="009B2FC2" w:rsidRPr="00C51ACB">
        <w:rPr>
          <w:rFonts w:ascii="Verdana" w:hAnsi="Verdana"/>
          <w:sz w:val="19"/>
          <w:szCs w:val="19"/>
        </w:rPr>
        <w:t>-</w:t>
      </w:r>
      <w:r w:rsidR="001A0C3F" w:rsidRPr="00C51ACB">
        <w:rPr>
          <w:rFonts w:ascii="Verdana" w:hAnsi="Verdana"/>
          <w:sz w:val="19"/>
          <w:szCs w:val="19"/>
        </w:rPr>
        <w:t>based discrimination.</w:t>
      </w:r>
      <w:r w:rsidR="00E82F09" w:rsidRPr="00C51ACB">
        <w:rPr>
          <w:rFonts w:ascii="Verdana" w:hAnsi="Verdana"/>
          <w:sz w:val="19"/>
          <w:szCs w:val="19"/>
        </w:rPr>
        <w:t xml:space="preserve"> Gender-identity based violence i</w:t>
      </w:r>
      <w:r w:rsidRPr="00C51ACB">
        <w:rPr>
          <w:rFonts w:ascii="Verdana" w:hAnsi="Verdana"/>
          <w:sz w:val="19"/>
          <w:szCs w:val="19"/>
        </w:rPr>
        <w:t>n and around public sanitation facilities is</w:t>
      </w:r>
      <w:r w:rsidR="00E82F09" w:rsidRPr="00C51ACB">
        <w:rPr>
          <w:rFonts w:ascii="Verdana" w:hAnsi="Verdana"/>
          <w:sz w:val="19"/>
          <w:szCs w:val="19"/>
        </w:rPr>
        <w:t xml:space="preserve"> rampant</w:t>
      </w:r>
      <w:r w:rsidRPr="00C51ACB">
        <w:rPr>
          <w:rFonts w:ascii="Verdana" w:hAnsi="Verdana"/>
          <w:sz w:val="19"/>
          <w:szCs w:val="19"/>
        </w:rPr>
        <w:t>.</w:t>
      </w:r>
      <w:r w:rsidR="0029077A">
        <w:rPr>
          <w:rFonts w:ascii="Verdana" w:hAnsi="Verdana"/>
          <w:sz w:val="19"/>
          <w:szCs w:val="19"/>
        </w:rPr>
        <w:t xml:space="preserve"> Several transgender women and non-binary </w:t>
      </w:r>
      <w:r w:rsidR="00A774B5">
        <w:rPr>
          <w:rFonts w:ascii="Verdana" w:hAnsi="Verdana"/>
          <w:sz w:val="19"/>
          <w:szCs w:val="19"/>
        </w:rPr>
        <w:t>men</w:t>
      </w:r>
      <w:r w:rsidR="0029077A">
        <w:rPr>
          <w:rFonts w:ascii="Verdana" w:hAnsi="Verdana"/>
          <w:sz w:val="19"/>
          <w:szCs w:val="19"/>
        </w:rPr>
        <w:t xml:space="preserve"> have informed the ICJ that they are at risk of sexual </w:t>
      </w:r>
      <w:r w:rsidR="00167837">
        <w:rPr>
          <w:rFonts w:ascii="Verdana" w:hAnsi="Verdana"/>
          <w:sz w:val="19"/>
          <w:szCs w:val="19"/>
        </w:rPr>
        <w:t xml:space="preserve">and physical violence </w:t>
      </w:r>
      <w:r w:rsidR="00A774B5">
        <w:rPr>
          <w:rFonts w:ascii="Verdana" w:hAnsi="Verdana"/>
          <w:sz w:val="19"/>
          <w:szCs w:val="19"/>
        </w:rPr>
        <w:t>in</w:t>
      </w:r>
      <w:r w:rsidR="00167837">
        <w:rPr>
          <w:rFonts w:ascii="Verdana" w:hAnsi="Verdana"/>
          <w:sz w:val="19"/>
          <w:szCs w:val="19"/>
        </w:rPr>
        <w:t xml:space="preserve"> </w:t>
      </w:r>
      <w:r w:rsidR="0029077A">
        <w:rPr>
          <w:rFonts w:ascii="Verdana" w:hAnsi="Verdana"/>
          <w:sz w:val="19"/>
          <w:szCs w:val="19"/>
        </w:rPr>
        <w:t>public toilets reserved for men</w:t>
      </w:r>
      <w:r w:rsidR="00167837">
        <w:rPr>
          <w:rFonts w:ascii="Verdana" w:hAnsi="Verdana"/>
          <w:sz w:val="19"/>
          <w:szCs w:val="19"/>
        </w:rPr>
        <w:t>,</w:t>
      </w:r>
      <w:r w:rsidR="0029077A">
        <w:rPr>
          <w:rFonts w:ascii="Verdana" w:hAnsi="Verdana"/>
          <w:sz w:val="19"/>
          <w:szCs w:val="19"/>
        </w:rPr>
        <w:t xml:space="preserve"> </w:t>
      </w:r>
      <w:r w:rsidR="00A774B5">
        <w:rPr>
          <w:rFonts w:ascii="Verdana" w:hAnsi="Verdana"/>
          <w:sz w:val="19"/>
          <w:szCs w:val="19"/>
        </w:rPr>
        <w:t xml:space="preserve">particularly, </w:t>
      </w:r>
      <w:r w:rsidR="00167837">
        <w:rPr>
          <w:rFonts w:ascii="Verdana" w:hAnsi="Verdana"/>
          <w:sz w:val="19"/>
          <w:szCs w:val="19"/>
        </w:rPr>
        <w:t>based on</w:t>
      </w:r>
      <w:r w:rsidR="0029077A">
        <w:rPr>
          <w:rFonts w:ascii="Verdana" w:hAnsi="Verdana"/>
          <w:sz w:val="19"/>
          <w:szCs w:val="19"/>
        </w:rPr>
        <w:t xml:space="preserve"> the underlying</w:t>
      </w:r>
      <w:r w:rsidR="00A774B5">
        <w:rPr>
          <w:rFonts w:ascii="Verdana" w:hAnsi="Verdana"/>
          <w:sz w:val="19"/>
          <w:szCs w:val="19"/>
        </w:rPr>
        <w:t xml:space="preserve"> flawed</w:t>
      </w:r>
      <w:r w:rsidR="0029077A">
        <w:rPr>
          <w:rFonts w:ascii="Verdana" w:hAnsi="Verdana"/>
          <w:sz w:val="19"/>
          <w:szCs w:val="19"/>
        </w:rPr>
        <w:t xml:space="preserve"> </w:t>
      </w:r>
      <w:r w:rsidR="00A774B5">
        <w:rPr>
          <w:rFonts w:ascii="Verdana" w:hAnsi="Verdana"/>
          <w:sz w:val="19"/>
          <w:szCs w:val="19"/>
        </w:rPr>
        <w:t>notion</w:t>
      </w:r>
      <w:r w:rsidR="0029077A">
        <w:rPr>
          <w:rFonts w:ascii="Verdana" w:hAnsi="Verdana"/>
          <w:sz w:val="19"/>
          <w:szCs w:val="19"/>
        </w:rPr>
        <w:t xml:space="preserve"> that they are sex workers.</w:t>
      </w:r>
      <w:r w:rsidR="00167837">
        <w:rPr>
          <w:rStyle w:val="FootnoteReference"/>
          <w:rFonts w:ascii="Verdana" w:hAnsi="Verdana"/>
          <w:sz w:val="19"/>
          <w:szCs w:val="19"/>
        </w:rPr>
        <w:footnoteReference w:id="14"/>
      </w:r>
      <w:r w:rsidR="0029077A">
        <w:rPr>
          <w:rFonts w:ascii="Verdana" w:hAnsi="Verdana"/>
          <w:sz w:val="19"/>
          <w:szCs w:val="19"/>
        </w:rPr>
        <w:t xml:space="preserve"> </w:t>
      </w:r>
    </w:p>
    <w:p w14:paraId="57D09328" w14:textId="2C8BD890" w:rsidR="00D97739" w:rsidRPr="00C51ACB" w:rsidRDefault="00A774B5" w:rsidP="005A0237">
      <w:pPr>
        <w:spacing w:line="240" w:lineRule="auto"/>
        <w:rPr>
          <w:rFonts w:ascii="Verdana" w:hAnsi="Verdana"/>
          <w:sz w:val="19"/>
          <w:szCs w:val="19"/>
        </w:rPr>
      </w:pPr>
      <w:r>
        <w:rPr>
          <w:rFonts w:ascii="Verdana" w:hAnsi="Verdana"/>
          <w:sz w:val="19"/>
          <w:szCs w:val="19"/>
        </w:rPr>
        <w:t>Further, m</w:t>
      </w:r>
      <w:r w:rsidR="00A34A87" w:rsidRPr="00C51ACB">
        <w:rPr>
          <w:rFonts w:ascii="Verdana" w:hAnsi="Verdana"/>
          <w:sz w:val="19"/>
          <w:szCs w:val="19"/>
        </w:rPr>
        <w:t>en’s toilets in India often have open urinals. Transgender men who have not undergone phalloplasty</w:t>
      </w:r>
      <w:r w:rsidR="00B57CBB">
        <w:rPr>
          <w:rStyle w:val="FootnoteReference"/>
          <w:rFonts w:ascii="Verdana" w:hAnsi="Verdana"/>
          <w:sz w:val="19"/>
          <w:szCs w:val="19"/>
        </w:rPr>
        <w:footnoteReference w:id="15"/>
      </w:r>
      <w:r w:rsidR="00A34A87" w:rsidRPr="00C51ACB">
        <w:rPr>
          <w:rFonts w:ascii="Verdana" w:hAnsi="Verdana"/>
          <w:sz w:val="19"/>
          <w:szCs w:val="19"/>
        </w:rPr>
        <w:t xml:space="preserve"> and are unable to stand and urinate are thus unable to use toilets that only have open urinals</w:t>
      </w:r>
      <w:r w:rsidR="0035354A">
        <w:rPr>
          <w:rFonts w:ascii="Verdana" w:hAnsi="Verdana"/>
          <w:sz w:val="19"/>
          <w:szCs w:val="19"/>
        </w:rPr>
        <w:t>.</w:t>
      </w:r>
      <w:r w:rsidR="0052326C">
        <w:rPr>
          <w:rFonts w:ascii="Verdana" w:hAnsi="Verdana"/>
          <w:sz w:val="19"/>
          <w:szCs w:val="19"/>
        </w:rPr>
        <w:t xml:space="preserve"> </w:t>
      </w:r>
      <w:r w:rsidR="00A34A87" w:rsidRPr="00C51ACB">
        <w:rPr>
          <w:rFonts w:ascii="Verdana" w:hAnsi="Verdana"/>
          <w:sz w:val="19"/>
          <w:szCs w:val="19"/>
        </w:rPr>
        <w:t xml:space="preserve">In addition, several men, particularly </w:t>
      </w:r>
      <w:r w:rsidR="00077D25">
        <w:rPr>
          <w:rFonts w:ascii="Verdana" w:hAnsi="Verdana"/>
          <w:sz w:val="19"/>
          <w:szCs w:val="19"/>
        </w:rPr>
        <w:t>non-binary</w:t>
      </w:r>
      <w:r w:rsidR="00A34A87" w:rsidRPr="00C51ACB">
        <w:rPr>
          <w:rFonts w:ascii="Verdana" w:hAnsi="Verdana"/>
          <w:sz w:val="19"/>
          <w:szCs w:val="19"/>
        </w:rPr>
        <w:t xml:space="preserve"> men are uncomfortable with using open urinals. </w:t>
      </w:r>
    </w:p>
    <w:p w14:paraId="76B7802A" w14:textId="37D2C4D4" w:rsidR="00DD76EB" w:rsidRPr="00C51ACB" w:rsidRDefault="00A34A87" w:rsidP="000F2E2F">
      <w:pPr>
        <w:spacing w:line="240" w:lineRule="auto"/>
        <w:rPr>
          <w:rFonts w:ascii="Verdana" w:eastAsia="Times New Roman" w:hAnsi="Verdana"/>
          <w:sz w:val="19"/>
          <w:szCs w:val="19"/>
        </w:rPr>
      </w:pPr>
      <w:r w:rsidRPr="00C51ACB">
        <w:rPr>
          <w:rFonts w:ascii="Verdana" w:hAnsi="Verdana"/>
          <w:sz w:val="19"/>
          <w:szCs w:val="19"/>
        </w:rPr>
        <w:t>T</w:t>
      </w:r>
      <w:r w:rsidR="001A0C3F" w:rsidRPr="00C51ACB">
        <w:rPr>
          <w:rFonts w:ascii="Verdana" w:hAnsi="Verdana"/>
          <w:sz w:val="19"/>
          <w:szCs w:val="19"/>
        </w:rPr>
        <w:t>rans</w:t>
      </w:r>
      <w:r w:rsidR="00751293" w:rsidRPr="00C51ACB">
        <w:rPr>
          <w:rFonts w:ascii="Verdana" w:hAnsi="Verdana"/>
          <w:sz w:val="19"/>
          <w:szCs w:val="19"/>
        </w:rPr>
        <w:t xml:space="preserve">gender persons and </w:t>
      </w:r>
      <w:r w:rsidR="00077D25" w:rsidRPr="00840E07">
        <w:rPr>
          <w:rFonts w:ascii="Verdana" w:hAnsi="Verdana"/>
          <w:sz w:val="19"/>
          <w:szCs w:val="19"/>
        </w:rPr>
        <w:t>non-binary</w:t>
      </w:r>
      <w:r w:rsidR="001A0C3F" w:rsidRPr="00C51ACB">
        <w:rPr>
          <w:rFonts w:ascii="Verdana" w:hAnsi="Verdana"/>
          <w:sz w:val="19"/>
          <w:szCs w:val="19"/>
        </w:rPr>
        <w:t xml:space="preserve"> persons are </w:t>
      </w:r>
      <w:r w:rsidR="00A774B5" w:rsidRPr="00840E07">
        <w:rPr>
          <w:rFonts w:ascii="Verdana" w:hAnsi="Verdana"/>
          <w:sz w:val="19"/>
          <w:szCs w:val="19"/>
        </w:rPr>
        <w:t xml:space="preserve">also </w:t>
      </w:r>
      <w:r w:rsidR="001A0C3F" w:rsidRPr="00C51ACB">
        <w:rPr>
          <w:rFonts w:ascii="Verdana" w:hAnsi="Verdana"/>
          <w:sz w:val="19"/>
          <w:szCs w:val="19"/>
        </w:rPr>
        <w:t xml:space="preserve">usually unable to access </w:t>
      </w:r>
      <w:r w:rsidR="00174E39" w:rsidRPr="00C51ACB">
        <w:rPr>
          <w:rFonts w:ascii="Verdana" w:hAnsi="Verdana"/>
          <w:sz w:val="19"/>
          <w:szCs w:val="19"/>
        </w:rPr>
        <w:t>toilets</w:t>
      </w:r>
      <w:r w:rsidR="0031000B" w:rsidRPr="00C51ACB">
        <w:rPr>
          <w:rFonts w:ascii="Verdana" w:hAnsi="Verdana"/>
          <w:sz w:val="19"/>
          <w:szCs w:val="19"/>
        </w:rPr>
        <w:t xml:space="preserve"> reserved for women</w:t>
      </w:r>
      <w:r w:rsidR="00174E39" w:rsidRPr="00C51ACB">
        <w:rPr>
          <w:rFonts w:ascii="Verdana" w:hAnsi="Verdana"/>
          <w:sz w:val="19"/>
          <w:szCs w:val="19"/>
        </w:rPr>
        <w:t xml:space="preserve">, </w:t>
      </w:r>
      <w:r w:rsidR="001A0C3F" w:rsidRPr="00C51ACB">
        <w:rPr>
          <w:rFonts w:ascii="Verdana" w:hAnsi="Verdana"/>
          <w:sz w:val="19"/>
          <w:szCs w:val="19"/>
        </w:rPr>
        <w:t xml:space="preserve">due to </w:t>
      </w:r>
      <w:r w:rsidR="00174E39" w:rsidRPr="00C51ACB">
        <w:rPr>
          <w:rFonts w:ascii="Verdana" w:hAnsi="Verdana"/>
          <w:sz w:val="19"/>
          <w:szCs w:val="19"/>
        </w:rPr>
        <w:t>hostile and ab</w:t>
      </w:r>
      <w:r w:rsidR="00FC1CB6" w:rsidRPr="00C51ACB">
        <w:rPr>
          <w:rFonts w:ascii="Verdana" w:hAnsi="Verdana"/>
          <w:sz w:val="19"/>
          <w:szCs w:val="19"/>
        </w:rPr>
        <w:t>u</w:t>
      </w:r>
      <w:r w:rsidR="00174E39" w:rsidRPr="00C51ACB">
        <w:rPr>
          <w:rFonts w:ascii="Verdana" w:hAnsi="Verdana"/>
          <w:sz w:val="19"/>
          <w:szCs w:val="19"/>
        </w:rPr>
        <w:t xml:space="preserve">sive reactions </w:t>
      </w:r>
      <w:r w:rsidR="001A0C3F" w:rsidRPr="00C51ACB">
        <w:rPr>
          <w:rFonts w:ascii="Verdana" w:hAnsi="Verdana"/>
          <w:sz w:val="19"/>
          <w:szCs w:val="19"/>
        </w:rPr>
        <w:t xml:space="preserve">from </w:t>
      </w:r>
      <w:r w:rsidR="00AC7391" w:rsidRPr="00840E07">
        <w:rPr>
          <w:rFonts w:ascii="Verdana" w:hAnsi="Verdana"/>
          <w:sz w:val="19"/>
          <w:szCs w:val="19"/>
        </w:rPr>
        <w:t xml:space="preserve">cis-gendered </w:t>
      </w:r>
      <w:r w:rsidR="001A0C3F" w:rsidRPr="00C51ACB">
        <w:rPr>
          <w:rFonts w:ascii="Verdana" w:hAnsi="Verdana"/>
          <w:sz w:val="19"/>
          <w:szCs w:val="19"/>
        </w:rPr>
        <w:t>women</w:t>
      </w:r>
      <w:r w:rsidR="00DD76EB" w:rsidRPr="00C51ACB">
        <w:rPr>
          <w:rFonts w:ascii="Verdana" w:hAnsi="Verdana"/>
          <w:sz w:val="19"/>
          <w:szCs w:val="19"/>
        </w:rPr>
        <w:t xml:space="preserve">, who </w:t>
      </w:r>
      <w:r w:rsidR="00970849">
        <w:rPr>
          <w:rFonts w:ascii="Verdana" w:hAnsi="Verdana"/>
          <w:sz w:val="19"/>
          <w:szCs w:val="19"/>
        </w:rPr>
        <w:t>fear they would expose themselves to the</w:t>
      </w:r>
      <w:r w:rsidR="00DD76EB" w:rsidRPr="00C51ACB">
        <w:rPr>
          <w:rFonts w:ascii="Verdana" w:hAnsi="Verdana"/>
          <w:sz w:val="19"/>
          <w:szCs w:val="19"/>
        </w:rPr>
        <w:t xml:space="preserve"> risk of </w:t>
      </w:r>
      <w:r w:rsidR="00B57CBB" w:rsidRPr="00C51ACB">
        <w:rPr>
          <w:rFonts w:ascii="Verdana" w:hAnsi="Verdana"/>
          <w:sz w:val="19"/>
          <w:szCs w:val="19"/>
        </w:rPr>
        <w:t>gender</w:t>
      </w:r>
      <w:r w:rsidR="00B57CBB" w:rsidRPr="00840E07">
        <w:rPr>
          <w:rFonts w:ascii="Verdana" w:hAnsi="Verdana"/>
          <w:sz w:val="19"/>
          <w:szCs w:val="19"/>
        </w:rPr>
        <w:t>-</w:t>
      </w:r>
      <w:r w:rsidR="00DD76EB" w:rsidRPr="00C51ACB">
        <w:rPr>
          <w:rFonts w:ascii="Verdana" w:hAnsi="Verdana"/>
          <w:sz w:val="19"/>
          <w:szCs w:val="19"/>
        </w:rPr>
        <w:t>based violence</w:t>
      </w:r>
      <w:r w:rsidR="00167837" w:rsidRPr="00840E07">
        <w:rPr>
          <w:rFonts w:ascii="Verdana" w:hAnsi="Verdana"/>
          <w:sz w:val="19"/>
          <w:szCs w:val="19"/>
        </w:rPr>
        <w:t>. This is corroborated by Akkai Padmashali,</w:t>
      </w:r>
      <w:r w:rsidR="00970849">
        <w:rPr>
          <w:rFonts w:ascii="Verdana" w:hAnsi="Verdana"/>
          <w:sz w:val="19"/>
          <w:szCs w:val="19"/>
        </w:rPr>
        <w:t xml:space="preserve"> </w:t>
      </w:r>
      <w:r w:rsidR="003E561A" w:rsidRPr="00840E07">
        <w:rPr>
          <w:rFonts w:ascii="Verdana" w:hAnsi="Verdana"/>
          <w:sz w:val="19"/>
          <w:szCs w:val="19"/>
        </w:rPr>
        <w:t>a transwoman and</w:t>
      </w:r>
      <w:r w:rsidR="00167837" w:rsidRPr="00840E07">
        <w:rPr>
          <w:rFonts w:ascii="Verdana" w:hAnsi="Verdana"/>
          <w:sz w:val="19"/>
          <w:szCs w:val="19"/>
        </w:rPr>
        <w:t xml:space="preserve"> head of Ondede,</w:t>
      </w:r>
      <w:r w:rsidR="003E561A" w:rsidRPr="00840E07">
        <w:rPr>
          <w:rFonts w:ascii="Verdana" w:hAnsi="Verdana"/>
          <w:sz w:val="19"/>
          <w:szCs w:val="19"/>
        </w:rPr>
        <w:t xml:space="preserve"> an NGO focused on</w:t>
      </w:r>
      <w:r w:rsidR="003E561A" w:rsidRPr="00C51ACB">
        <w:rPr>
          <w:rFonts w:ascii="Verdana" w:eastAsia="Times New Roman" w:hAnsi="Verdana"/>
          <w:color w:val="333333"/>
          <w:sz w:val="19"/>
          <w:szCs w:val="19"/>
          <w:shd w:val="clear" w:color="auto" w:fill="FFFFFF"/>
        </w:rPr>
        <w:t xml:space="preserve"> awareness creation about sexuality, sexual diversity, and gender identity</w:t>
      </w:r>
      <w:r w:rsidR="00970849">
        <w:rPr>
          <w:rFonts w:ascii="Verdana" w:eastAsia="Times New Roman" w:hAnsi="Verdana"/>
          <w:color w:val="333333"/>
          <w:sz w:val="19"/>
          <w:szCs w:val="19"/>
          <w:shd w:val="clear" w:color="auto" w:fill="FFFFFF"/>
        </w:rPr>
        <w:t xml:space="preserve">. She stated </w:t>
      </w:r>
      <w:r w:rsidR="00A774B5" w:rsidRPr="00C51ACB">
        <w:rPr>
          <w:rFonts w:ascii="Verdana" w:eastAsia="Times New Roman" w:hAnsi="Verdana"/>
          <w:color w:val="333333"/>
          <w:sz w:val="19"/>
          <w:szCs w:val="19"/>
          <w:shd w:val="clear" w:color="auto" w:fill="FFFFFF"/>
        </w:rPr>
        <w:t>that she was</w:t>
      </w:r>
      <w:r w:rsidR="00167837" w:rsidRPr="00840E07">
        <w:rPr>
          <w:rFonts w:ascii="Verdana" w:hAnsi="Verdana"/>
          <w:sz w:val="19"/>
          <w:szCs w:val="19"/>
        </w:rPr>
        <w:t xml:space="preserve"> yelled at and told that a women’s toilet is not for her</w:t>
      </w:r>
      <w:r w:rsidR="00A774B5" w:rsidRPr="00840E07">
        <w:rPr>
          <w:rFonts w:ascii="Verdana" w:hAnsi="Verdana"/>
          <w:sz w:val="19"/>
          <w:szCs w:val="19"/>
        </w:rPr>
        <w:t xml:space="preserve"> by a cis-gendered woman</w:t>
      </w:r>
      <w:r w:rsidR="00B837C7">
        <w:rPr>
          <w:rFonts w:ascii="Verdana" w:hAnsi="Verdana"/>
          <w:sz w:val="19"/>
          <w:szCs w:val="19"/>
        </w:rPr>
        <w:t>. This incident took place in a toilet inside the</w:t>
      </w:r>
      <w:r w:rsidR="00C87F2A">
        <w:rPr>
          <w:rFonts w:ascii="Verdana" w:hAnsi="Verdana"/>
          <w:sz w:val="19"/>
          <w:szCs w:val="19"/>
        </w:rPr>
        <w:t xml:space="preserve"> building of the</w:t>
      </w:r>
      <w:r w:rsidR="00B837C7">
        <w:rPr>
          <w:rFonts w:ascii="Verdana" w:hAnsi="Verdana"/>
          <w:sz w:val="19"/>
          <w:szCs w:val="19"/>
        </w:rPr>
        <w:t xml:space="preserve"> </w:t>
      </w:r>
      <w:r w:rsidR="00167837" w:rsidRPr="00840E07">
        <w:rPr>
          <w:rFonts w:ascii="Verdana" w:hAnsi="Verdana"/>
          <w:sz w:val="19"/>
          <w:szCs w:val="19"/>
        </w:rPr>
        <w:t xml:space="preserve">State Legislature </w:t>
      </w:r>
      <w:r w:rsidR="00C87F2A">
        <w:rPr>
          <w:rFonts w:ascii="Verdana" w:hAnsi="Verdana"/>
          <w:sz w:val="19"/>
          <w:szCs w:val="19"/>
        </w:rPr>
        <w:t>of</w:t>
      </w:r>
      <w:r w:rsidR="00167837" w:rsidRPr="00840E07">
        <w:rPr>
          <w:rFonts w:ascii="Verdana" w:hAnsi="Verdana"/>
          <w:sz w:val="19"/>
          <w:szCs w:val="19"/>
        </w:rPr>
        <w:t xml:space="preserve"> Karnataka</w:t>
      </w:r>
      <w:r w:rsidR="00A774B5" w:rsidRPr="00840E07">
        <w:rPr>
          <w:rFonts w:ascii="Verdana" w:hAnsi="Verdana"/>
          <w:sz w:val="19"/>
          <w:szCs w:val="19"/>
        </w:rPr>
        <w:t>,</w:t>
      </w:r>
      <w:r w:rsidR="00167837" w:rsidRPr="00840E07">
        <w:rPr>
          <w:rFonts w:ascii="Verdana" w:hAnsi="Verdana"/>
          <w:sz w:val="19"/>
          <w:szCs w:val="19"/>
        </w:rPr>
        <w:t xml:space="preserve"> while attending a meeting</w:t>
      </w:r>
      <w:r w:rsidR="003E561A" w:rsidRPr="00840E07">
        <w:rPr>
          <w:rFonts w:ascii="Verdana" w:hAnsi="Verdana"/>
          <w:sz w:val="19"/>
          <w:szCs w:val="19"/>
        </w:rPr>
        <w:t xml:space="preserve"> with the law minister</w:t>
      </w:r>
      <w:r w:rsidR="00167837" w:rsidRPr="00840E07">
        <w:rPr>
          <w:rFonts w:ascii="Verdana" w:hAnsi="Verdana"/>
          <w:sz w:val="19"/>
          <w:szCs w:val="19"/>
        </w:rPr>
        <w:t>.</w:t>
      </w:r>
      <w:r w:rsidR="00167837" w:rsidRPr="00840E07">
        <w:rPr>
          <w:rStyle w:val="FootnoteReference"/>
          <w:rFonts w:ascii="Verdana" w:hAnsi="Verdana"/>
          <w:sz w:val="19"/>
          <w:szCs w:val="19"/>
        </w:rPr>
        <w:footnoteReference w:id="16"/>
      </w:r>
      <w:r w:rsidR="00167837" w:rsidRPr="00840E07">
        <w:rPr>
          <w:rFonts w:ascii="Verdana" w:hAnsi="Verdana"/>
          <w:sz w:val="19"/>
          <w:szCs w:val="19"/>
        </w:rPr>
        <w:t xml:space="preserve"> </w:t>
      </w:r>
      <w:r w:rsidR="00A774B5" w:rsidRPr="00840E07">
        <w:rPr>
          <w:rFonts w:ascii="Verdana" w:hAnsi="Verdana"/>
          <w:sz w:val="19"/>
          <w:szCs w:val="19"/>
        </w:rPr>
        <w:t>Further, s</w:t>
      </w:r>
      <w:r w:rsidR="00A83ED8" w:rsidRPr="00840E07">
        <w:rPr>
          <w:rFonts w:ascii="Verdana" w:hAnsi="Verdana"/>
          <w:sz w:val="19"/>
          <w:szCs w:val="19"/>
        </w:rPr>
        <w:t xml:space="preserve">everal transwomen told the ICJ that </w:t>
      </w:r>
      <w:r w:rsidR="00AC7391" w:rsidRPr="00C51ACB">
        <w:rPr>
          <w:rFonts w:ascii="Verdana" w:hAnsi="Verdana"/>
          <w:sz w:val="19"/>
          <w:szCs w:val="19"/>
        </w:rPr>
        <w:t xml:space="preserve">upon entering the public toilet reserved for women, </w:t>
      </w:r>
      <w:r w:rsidR="00A83ED8" w:rsidRPr="00840E07">
        <w:rPr>
          <w:rFonts w:ascii="Verdana" w:hAnsi="Verdana"/>
          <w:sz w:val="19"/>
          <w:szCs w:val="19"/>
        </w:rPr>
        <w:t>they avoided talking o</w:t>
      </w:r>
      <w:r w:rsidR="00A774B5" w:rsidRPr="00840E07">
        <w:rPr>
          <w:rFonts w:ascii="Verdana" w:hAnsi="Verdana"/>
          <w:sz w:val="19"/>
          <w:szCs w:val="19"/>
        </w:rPr>
        <w:t>n</w:t>
      </w:r>
      <w:r w:rsidR="00A83ED8" w:rsidRPr="00840E07">
        <w:rPr>
          <w:rFonts w:ascii="Verdana" w:hAnsi="Verdana"/>
          <w:sz w:val="19"/>
          <w:szCs w:val="19"/>
        </w:rPr>
        <w:t xml:space="preserve"> the phone, </w:t>
      </w:r>
      <w:r w:rsidR="00167837" w:rsidRPr="00840E07">
        <w:rPr>
          <w:rFonts w:ascii="Verdana" w:hAnsi="Verdana"/>
          <w:sz w:val="19"/>
          <w:szCs w:val="19"/>
        </w:rPr>
        <w:t xml:space="preserve">as they </w:t>
      </w:r>
      <w:r w:rsidR="00A83ED8" w:rsidRPr="00840E07">
        <w:rPr>
          <w:rFonts w:ascii="Verdana" w:hAnsi="Verdana"/>
          <w:sz w:val="19"/>
          <w:szCs w:val="19"/>
        </w:rPr>
        <w:t>fear</w:t>
      </w:r>
      <w:r w:rsidR="00167837" w:rsidRPr="00840E07">
        <w:rPr>
          <w:rFonts w:ascii="Verdana" w:hAnsi="Verdana"/>
          <w:sz w:val="19"/>
          <w:szCs w:val="19"/>
        </w:rPr>
        <w:t>ed</w:t>
      </w:r>
      <w:r w:rsidR="00A83ED8" w:rsidRPr="00840E07">
        <w:rPr>
          <w:rFonts w:ascii="Verdana" w:hAnsi="Verdana"/>
          <w:sz w:val="19"/>
          <w:szCs w:val="19"/>
        </w:rPr>
        <w:t xml:space="preserve"> </w:t>
      </w:r>
      <w:r w:rsidR="00AC7391" w:rsidRPr="00C51ACB">
        <w:rPr>
          <w:rFonts w:ascii="Verdana" w:hAnsi="Verdana"/>
          <w:sz w:val="19"/>
          <w:szCs w:val="19"/>
        </w:rPr>
        <w:t>being</w:t>
      </w:r>
      <w:r w:rsidR="00A83ED8" w:rsidRPr="00840E07">
        <w:rPr>
          <w:rFonts w:ascii="Verdana" w:hAnsi="Verdana"/>
          <w:sz w:val="19"/>
          <w:szCs w:val="19"/>
        </w:rPr>
        <w:t xml:space="preserve"> identified as</w:t>
      </w:r>
      <w:r w:rsidR="00167837" w:rsidRPr="00840E07">
        <w:rPr>
          <w:rFonts w:ascii="Verdana" w:hAnsi="Verdana"/>
          <w:sz w:val="19"/>
          <w:szCs w:val="19"/>
        </w:rPr>
        <w:t xml:space="preserve"> </w:t>
      </w:r>
      <w:r w:rsidR="00A83ED8" w:rsidRPr="00840E07">
        <w:rPr>
          <w:rFonts w:ascii="Verdana" w:hAnsi="Verdana"/>
          <w:sz w:val="19"/>
          <w:szCs w:val="19"/>
        </w:rPr>
        <w:t>transgender</w:t>
      </w:r>
      <w:r w:rsidR="00167837" w:rsidRPr="00840E07">
        <w:rPr>
          <w:rFonts w:ascii="Verdana" w:hAnsi="Verdana"/>
          <w:sz w:val="19"/>
          <w:szCs w:val="19"/>
        </w:rPr>
        <w:t xml:space="preserve"> person</w:t>
      </w:r>
      <w:r w:rsidR="00A83683" w:rsidRPr="00840E07">
        <w:rPr>
          <w:rFonts w:ascii="Verdana" w:hAnsi="Verdana"/>
          <w:sz w:val="19"/>
          <w:szCs w:val="19"/>
        </w:rPr>
        <w:t>s</w:t>
      </w:r>
      <w:r w:rsidR="00A83ED8" w:rsidRPr="00840E07">
        <w:rPr>
          <w:rFonts w:ascii="Verdana" w:hAnsi="Verdana"/>
          <w:sz w:val="19"/>
          <w:szCs w:val="19"/>
        </w:rPr>
        <w:t xml:space="preserve"> by </w:t>
      </w:r>
      <w:r w:rsidR="00AC7391" w:rsidRPr="00C51ACB">
        <w:rPr>
          <w:rFonts w:ascii="Verdana" w:hAnsi="Verdana"/>
          <w:sz w:val="19"/>
          <w:szCs w:val="19"/>
        </w:rPr>
        <w:t>cis-gendered women</w:t>
      </w:r>
      <w:r w:rsidR="00A83ED8" w:rsidRPr="00840E07">
        <w:rPr>
          <w:rFonts w:ascii="Verdana" w:hAnsi="Verdana"/>
          <w:sz w:val="19"/>
          <w:szCs w:val="19"/>
        </w:rPr>
        <w:t xml:space="preserve">, </w:t>
      </w:r>
      <w:r w:rsidR="00167837" w:rsidRPr="00840E07">
        <w:rPr>
          <w:rFonts w:ascii="Verdana" w:hAnsi="Verdana"/>
          <w:sz w:val="19"/>
          <w:szCs w:val="19"/>
        </w:rPr>
        <w:t xml:space="preserve">and </w:t>
      </w:r>
      <w:r w:rsidR="00920B32">
        <w:rPr>
          <w:rFonts w:ascii="Verdana" w:hAnsi="Verdana"/>
          <w:sz w:val="19"/>
          <w:szCs w:val="19"/>
        </w:rPr>
        <w:t xml:space="preserve">being the target of </w:t>
      </w:r>
      <w:r w:rsidR="00A83ED8" w:rsidRPr="00840E07">
        <w:rPr>
          <w:rFonts w:ascii="Verdana" w:hAnsi="Verdana"/>
          <w:sz w:val="19"/>
          <w:szCs w:val="19"/>
        </w:rPr>
        <w:t>harassment</w:t>
      </w:r>
      <w:r w:rsidR="00AC7391" w:rsidRPr="00840E07">
        <w:rPr>
          <w:rFonts w:ascii="Verdana" w:hAnsi="Verdana"/>
          <w:sz w:val="19"/>
          <w:szCs w:val="19"/>
        </w:rPr>
        <w:t xml:space="preserve"> and </w:t>
      </w:r>
      <w:r w:rsidR="00A774B5" w:rsidRPr="00840E07">
        <w:rPr>
          <w:rFonts w:ascii="Verdana" w:hAnsi="Verdana"/>
          <w:sz w:val="19"/>
          <w:szCs w:val="19"/>
        </w:rPr>
        <w:t>abuse</w:t>
      </w:r>
      <w:r w:rsidR="00920B32">
        <w:rPr>
          <w:rFonts w:ascii="Verdana" w:hAnsi="Verdana"/>
          <w:sz w:val="19"/>
          <w:szCs w:val="19"/>
        </w:rPr>
        <w:t>, as a result.</w:t>
      </w:r>
      <w:r w:rsidR="00A83ED8" w:rsidRPr="00840E07">
        <w:rPr>
          <w:rFonts w:ascii="Verdana" w:hAnsi="Verdana"/>
          <w:sz w:val="19"/>
          <w:szCs w:val="19"/>
        </w:rPr>
        <w:t xml:space="preserve"> </w:t>
      </w:r>
    </w:p>
    <w:p w14:paraId="4475AF13" w14:textId="3EC59BCD" w:rsidR="00D23ED3" w:rsidRPr="00C51ACB" w:rsidRDefault="00333917" w:rsidP="000F2E2F">
      <w:pPr>
        <w:spacing w:line="240" w:lineRule="auto"/>
        <w:rPr>
          <w:rFonts w:ascii="Verdana" w:eastAsia="Times New Roman" w:hAnsi="Verdana"/>
          <w:sz w:val="19"/>
          <w:szCs w:val="19"/>
        </w:rPr>
      </w:pPr>
      <w:r w:rsidRPr="00C51ACB">
        <w:rPr>
          <w:rFonts w:ascii="Verdana" w:hAnsi="Verdana"/>
          <w:sz w:val="19"/>
          <w:szCs w:val="19"/>
        </w:rPr>
        <w:t xml:space="preserve">Inaccessibility of toilets </w:t>
      </w:r>
      <w:r w:rsidR="00E82F09" w:rsidRPr="00C51ACB">
        <w:rPr>
          <w:rFonts w:ascii="Verdana" w:hAnsi="Verdana"/>
          <w:sz w:val="19"/>
          <w:szCs w:val="19"/>
        </w:rPr>
        <w:t>compels</w:t>
      </w:r>
      <w:r w:rsidRPr="00C51ACB">
        <w:rPr>
          <w:rFonts w:ascii="Verdana" w:hAnsi="Verdana"/>
          <w:sz w:val="19"/>
          <w:szCs w:val="19"/>
        </w:rPr>
        <w:t xml:space="preserve"> </w:t>
      </w:r>
      <w:r w:rsidR="00DD76EB" w:rsidRPr="00C51ACB">
        <w:rPr>
          <w:rFonts w:ascii="Verdana" w:hAnsi="Verdana"/>
          <w:sz w:val="19"/>
          <w:szCs w:val="19"/>
        </w:rPr>
        <w:t>transgender</w:t>
      </w:r>
      <w:r w:rsidR="00AC7391" w:rsidRPr="00840E07">
        <w:rPr>
          <w:rFonts w:ascii="Verdana" w:hAnsi="Verdana"/>
          <w:sz w:val="19"/>
          <w:szCs w:val="19"/>
        </w:rPr>
        <w:t xml:space="preserve"> persons</w:t>
      </w:r>
      <w:r w:rsidR="00077D25" w:rsidRPr="00840E07">
        <w:rPr>
          <w:rFonts w:ascii="Verdana" w:hAnsi="Verdana"/>
          <w:sz w:val="19"/>
          <w:szCs w:val="19"/>
        </w:rPr>
        <w:t xml:space="preserve"> and non-binary </w:t>
      </w:r>
      <w:r w:rsidRPr="00C51ACB">
        <w:rPr>
          <w:rFonts w:ascii="Verdana" w:hAnsi="Verdana"/>
          <w:sz w:val="19"/>
          <w:szCs w:val="19"/>
        </w:rPr>
        <w:t xml:space="preserve">persons to avoid drinking water, </w:t>
      </w:r>
      <w:r w:rsidR="00FF70B5" w:rsidRPr="00C51ACB">
        <w:rPr>
          <w:rFonts w:ascii="Verdana" w:hAnsi="Verdana"/>
          <w:sz w:val="19"/>
          <w:szCs w:val="19"/>
        </w:rPr>
        <w:t xml:space="preserve">and </w:t>
      </w:r>
      <w:r w:rsidR="00DD76EB" w:rsidRPr="00C51ACB">
        <w:rPr>
          <w:rFonts w:ascii="Verdana" w:hAnsi="Verdana"/>
          <w:sz w:val="19"/>
          <w:szCs w:val="19"/>
        </w:rPr>
        <w:t xml:space="preserve">to </w:t>
      </w:r>
      <w:r w:rsidRPr="00C51ACB">
        <w:rPr>
          <w:rFonts w:ascii="Verdana" w:hAnsi="Verdana"/>
          <w:sz w:val="19"/>
          <w:szCs w:val="19"/>
        </w:rPr>
        <w:t xml:space="preserve">hold </w:t>
      </w:r>
      <w:r w:rsidR="00DD76EB" w:rsidRPr="00C51ACB">
        <w:rPr>
          <w:rFonts w:ascii="Verdana" w:hAnsi="Verdana"/>
          <w:sz w:val="19"/>
          <w:szCs w:val="19"/>
        </w:rPr>
        <w:t xml:space="preserve">their </w:t>
      </w:r>
      <w:r w:rsidRPr="00C51ACB">
        <w:rPr>
          <w:rFonts w:ascii="Verdana" w:hAnsi="Verdana"/>
          <w:sz w:val="19"/>
          <w:szCs w:val="19"/>
        </w:rPr>
        <w:t>urine for long periods of time</w:t>
      </w:r>
      <w:r w:rsidR="00BF0A09" w:rsidRPr="00C51ACB">
        <w:rPr>
          <w:rFonts w:ascii="Verdana" w:hAnsi="Verdana"/>
          <w:sz w:val="19"/>
          <w:szCs w:val="19"/>
        </w:rPr>
        <w:t>.</w:t>
      </w:r>
      <w:r w:rsidRPr="00C51ACB">
        <w:rPr>
          <w:rFonts w:ascii="Verdana" w:hAnsi="Verdana"/>
          <w:sz w:val="19"/>
          <w:szCs w:val="19"/>
        </w:rPr>
        <w:t xml:space="preserve"> </w:t>
      </w:r>
      <w:r w:rsidR="00801334" w:rsidRPr="00840E07">
        <w:rPr>
          <w:rFonts w:ascii="Verdana" w:hAnsi="Verdana"/>
          <w:sz w:val="19"/>
          <w:szCs w:val="19"/>
        </w:rPr>
        <w:t xml:space="preserve">Akkai Padmashali has </w:t>
      </w:r>
      <w:r w:rsidR="00920B32">
        <w:rPr>
          <w:rFonts w:ascii="Verdana" w:hAnsi="Verdana"/>
          <w:sz w:val="19"/>
          <w:szCs w:val="19"/>
        </w:rPr>
        <w:t xml:space="preserve">stated </w:t>
      </w:r>
      <w:r w:rsidR="00840E07">
        <w:rPr>
          <w:rFonts w:ascii="Verdana" w:hAnsi="Verdana"/>
          <w:sz w:val="19"/>
          <w:szCs w:val="19"/>
        </w:rPr>
        <w:t>in an interview</w:t>
      </w:r>
      <w:r w:rsidR="00801334" w:rsidRPr="00840E07">
        <w:rPr>
          <w:rFonts w:ascii="Verdana" w:hAnsi="Verdana"/>
          <w:sz w:val="19"/>
          <w:szCs w:val="19"/>
        </w:rPr>
        <w:t xml:space="preserve"> that she does not drink water before meetings as well as before </w:t>
      </w:r>
      <w:r w:rsidR="00840E07">
        <w:rPr>
          <w:rFonts w:ascii="Verdana" w:hAnsi="Verdana"/>
          <w:sz w:val="19"/>
          <w:szCs w:val="19"/>
        </w:rPr>
        <w:t>she goes on long journe</w:t>
      </w:r>
      <w:r w:rsidR="00801334" w:rsidRPr="00840E07">
        <w:rPr>
          <w:rFonts w:ascii="Verdana" w:hAnsi="Verdana"/>
          <w:sz w:val="19"/>
          <w:szCs w:val="19"/>
        </w:rPr>
        <w:t>ys as she is fearful of public toilets.</w:t>
      </w:r>
      <w:r w:rsidR="008723B6" w:rsidRPr="00C51ACB">
        <w:rPr>
          <w:rStyle w:val="FootnoteReference"/>
          <w:rFonts w:ascii="Verdana" w:eastAsia="Times New Roman" w:hAnsi="Verdana"/>
          <w:iCs/>
          <w:color w:val="333333"/>
          <w:sz w:val="19"/>
          <w:szCs w:val="19"/>
        </w:rPr>
        <w:footnoteReference w:id="17"/>
      </w:r>
      <w:r w:rsidR="00801334" w:rsidRPr="00C51ACB">
        <w:rPr>
          <w:rFonts w:ascii="Verdana" w:eastAsia="Times New Roman" w:hAnsi="Verdana"/>
          <w:sz w:val="19"/>
          <w:szCs w:val="19"/>
        </w:rPr>
        <w:t xml:space="preserve"> </w:t>
      </w:r>
      <w:r w:rsidR="0035354A" w:rsidRPr="00840E07">
        <w:rPr>
          <w:rFonts w:ascii="Verdana" w:hAnsi="Verdana"/>
          <w:sz w:val="19"/>
          <w:szCs w:val="19"/>
        </w:rPr>
        <w:t>C, a transman, told the ICJ that he was unable to urinate during long bus journeys, as men were expected to stand and urinate on the roadside at most halts</w:t>
      </w:r>
      <w:r w:rsidR="00920B32">
        <w:rPr>
          <w:rFonts w:ascii="Verdana" w:hAnsi="Verdana"/>
          <w:sz w:val="19"/>
          <w:szCs w:val="19"/>
        </w:rPr>
        <w:t>.</w:t>
      </w:r>
      <w:r w:rsidR="0035354A" w:rsidRPr="00840E07">
        <w:rPr>
          <w:rFonts w:ascii="Verdana" w:hAnsi="Verdana"/>
          <w:sz w:val="19"/>
          <w:szCs w:val="19"/>
        </w:rPr>
        <w:t xml:space="preserve"> Thus, the inability to access toilets also affects transgender and non-binary persons’</w:t>
      </w:r>
      <w:r w:rsidR="00B35475" w:rsidRPr="00840E07">
        <w:rPr>
          <w:rFonts w:ascii="Verdana" w:hAnsi="Verdana"/>
          <w:sz w:val="19"/>
          <w:szCs w:val="19"/>
        </w:rPr>
        <w:t xml:space="preserve"> ability to travel</w:t>
      </w:r>
      <w:r w:rsidR="00920B32">
        <w:rPr>
          <w:rFonts w:ascii="Verdana" w:hAnsi="Verdana"/>
          <w:sz w:val="19"/>
          <w:szCs w:val="19"/>
        </w:rPr>
        <w:t>,</w:t>
      </w:r>
      <w:r w:rsidR="00B56C94">
        <w:rPr>
          <w:rFonts w:ascii="Verdana" w:hAnsi="Verdana"/>
          <w:sz w:val="19"/>
          <w:szCs w:val="19"/>
        </w:rPr>
        <w:t xml:space="preserve"> </w:t>
      </w:r>
      <w:r w:rsidR="00B35475" w:rsidRPr="00840E07">
        <w:rPr>
          <w:rFonts w:ascii="Verdana" w:hAnsi="Verdana"/>
          <w:sz w:val="19"/>
          <w:szCs w:val="19"/>
        </w:rPr>
        <w:t>and thereby their</w:t>
      </w:r>
      <w:r w:rsidR="00660A0E" w:rsidRPr="00C51ACB">
        <w:rPr>
          <w:rFonts w:ascii="Verdana" w:hAnsi="Verdana"/>
          <w:sz w:val="19"/>
          <w:szCs w:val="19"/>
        </w:rPr>
        <w:t xml:space="preserve"> </w:t>
      </w:r>
      <w:r w:rsidR="0035354A" w:rsidRPr="00840E07">
        <w:rPr>
          <w:rFonts w:ascii="Verdana" w:hAnsi="Verdana"/>
          <w:sz w:val="19"/>
          <w:szCs w:val="19"/>
        </w:rPr>
        <w:t>freedom of movement</w:t>
      </w:r>
      <w:r w:rsidR="00B56C94">
        <w:rPr>
          <w:rFonts w:ascii="Verdana" w:hAnsi="Verdana"/>
          <w:sz w:val="19"/>
          <w:szCs w:val="19"/>
        </w:rPr>
        <w:t xml:space="preserve"> as well as their right to work.</w:t>
      </w:r>
      <w:r w:rsidR="00886F3E">
        <w:rPr>
          <w:rFonts w:ascii="Verdana" w:hAnsi="Verdana"/>
          <w:sz w:val="19"/>
          <w:szCs w:val="19"/>
        </w:rPr>
        <w:t xml:space="preserve"> </w:t>
      </w:r>
    </w:p>
    <w:p w14:paraId="59A7E59F" w14:textId="175405EF" w:rsidR="00174E39" w:rsidRPr="00C51ACB" w:rsidRDefault="00174E39" w:rsidP="005A0237">
      <w:pPr>
        <w:spacing w:line="240" w:lineRule="auto"/>
        <w:rPr>
          <w:rFonts w:ascii="Verdana" w:hAnsi="Verdana"/>
          <w:sz w:val="19"/>
          <w:szCs w:val="19"/>
        </w:rPr>
      </w:pPr>
      <w:r w:rsidRPr="00C51ACB">
        <w:rPr>
          <w:rFonts w:ascii="Verdana" w:hAnsi="Verdana"/>
          <w:sz w:val="19"/>
          <w:szCs w:val="19"/>
        </w:rPr>
        <w:t>Specific examples of such violations of the human right to water and sanitation</w:t>
      </w:r>
      <w:r w:rsidR="0031000B" w:rsidRPr="00C51ACB">
        <w:rPr>
          <w:rFonts w:ascii="Verdana" w:hAnsi="Verdana"/>
          <w:sz w:val="19"/>
          <w:szCs w:val="19"/>
        </w:rPr>
        <w:t>, drawn directly from the ICJ’s interviews,</w:t>
      </w:r>
      <w:r w:rsidRPr="00C51ACB">
        <w:rPr>
          <w:rFonts w:ascii="Verdana" w:hAnsi="Verdana"/>
          <w:sz w:val="19"/>
          <w:szCs w:val="19"/>
        </w:rPr>
        <w:t xml:space="preserve"> are provided in response to Q. 6. </w:t>
      </w:r>
    </w:p>
    <w:p w14:paraId="718C9F15" w14:textId="3193F2AD" w:rsidR="00333917" w:rsidRPr="00C51ACB" w:rsidRDefault="00EF0A1C" w:rsidP="00FB13F5">
      <w:pPr>
        <w:pStyle w:val="Heading1"/>
        <w:numPr>
          <w:ilvl w:val="0"/>
          <w:numId w:val="26"/>
        </w:numPr>
        <w:spacing w:line="240" w:lineRule="auto"/>
        <w:rPr>
          <w:rFonts w:ascii="Verdana" w:hAnsi="Verdana"/>
          <w:b/>
          <w:color w:val="auto"/>
          <w:sz w:val="19"/>
          <w:szCs w:val="19"/>
        </w:rPr>
      </w:pPr>
      <w:r w:rsidRPr="00C51ACB">
        <w:rPr>
          <w:rFonts w:ascii="Verdana" w:hAnsi="Verdana"/>
          <w:b/>
          <w:color w:val="auto"/>
          <w:sz w:val="19"/>
          <w:szCs w:val="19"/>
        </w:rPr>
        <w:lastRenderedPageBreak/>
        <w:t xml:space="preserve">Please describe the main obstacles faced by people that live or work in public spaces in the country where you operate in accessing water and sanitation in accordance with the normative content of the rights and the principles of equality and non-discrimination, participation, sustainability, progressive realization and access to remedies, and accountability. </w:t>
      </w:r>
    </w:p>
    <w:p w14:paraId="6B148F23" w14:textId="64D70EB4" w:rsidR="00577389" w:rsidRPr="00C51ACB" w:rsidRDefault="0031000B" w:rsidP="005A0237">
      <w:pPr>
        <w:spacing w:line="240" w:lineRule="auto"/>
        <w:rPr>
          <w:rFonts w:ascii="Verdana" w:hAnsi="Verdana"/>
          <w:sz w:val="19"/>
          <w:szCs w:val="19"/>
        </w:rPr>
      </w:pPr>
      <w:r w:rsidRPr="00C51ACB">
        <w:rPr>
          <w:rFonts w:ascii="Verdana" w:hAnsi="Verdana"/>
          <w:sz w:val="19"/>
          <w:szCs w:val="19"/>
        </w:rPr>
        <w:t>According CESCR’s General Comment on the right to water, s</w:t>
      </w:r>
      <w:r w:rsidR="00577389" w:rsidRPr="00C51ACB">
        <w:rPr>
          <w:rFonts w:ascii="Verdana" w:hAnsi="Verdana"/>
          <w:sz w:val="19"/>
          <w:szCs w:val="19"/>
        </w:rPr>
        <w:t>anitation facilities must be available, accessible, affordable, acceptable, and of good quality.</w:t>
      </w:r>
      <w:r w:rsidR="00577389" w:rsidRPr="00C51ACB">
        <w:rPr>
          <w:rStyle w:val="FootnoteReference"/>
          <w:rFonts w:ascii="Verdana" w:hAnsi="Verdana"/>
          <w:sz w:val="19"/>
          <w:szCs w:val="19"/>
        </w:rPr>
        <w:footnoteReference w:id="18"/>
      </w:r>
      <w:r w:rsidR="00577389" w:rsidRPr="00C51ACB">
        <w:rPr>
          <w:rFonts w:ascii="Verdana" w:hAnsi="Verdana"/>
          <w:sz w:val="19"/>
          <w:szCs w:val="19"/>
        </w:rPr>
        <w:t xml:space="preserve"> Non-discrimination in the right to adequate sanitation is </w:t>
      </w:r>
      <w:r w:rsidR="00AF4DF1" w:rsidRPr="00C51ACB">
        <w:rPr>
          <w:rFonts w:ascii="Verdana" w:hAnsi="Verdana"/>
          <w:sz w:val="19"/>
          <w:szCs w:val="19"/>
        </w:rPr>
        <w:t>an immediate obligation on states</w:t>
      </w:r>
      <w:r w:rsidR="00577389" w:rsidRPr="00C51ACB">
        <w:rPr>
          <w:rFonts w:ascii="Verdana" w:hAnsi="Verdana"/>
          <w:sz w:val="19"/>
          <w:szCs w:val="19"/>
        </w:rPr>
        <w:t xml:space="preserve"> </w:t>
      </w:r>
      <w:r w:rsidR="00AF4DF1" w:rsidRPr="00C51ACB">
        <w:rPr>
          <w:rFonts w:ascii="Verdana" w:hAnsi="Verdana"/>
          <w:sz w:val="19"/>
          <w:szCs w:val="19"/>
        </w:rPr>
        <w:t>in terms of the</w:t>
      </w:r>
      <w:r w:rsidR="00577389" w:rsidRPr="00C51ACB">
        <w:rPr>
          <w:rFonts w:ascii="Verdana" w:hAnsi="Verdana"/>
          <w:sz w:val="19"/>
          <w:szCs w:val="19"/>
        </w:rPr>
        <w:t xml:space="preserve"> right</w:t>
      </w:r>
      <w:r w:rsidR="00AF4DF1" w:rsidRPr="00C51ACB">
        <w:rPr>
          <w:rFonts w:ascii="Verdana" w:hAnsi="Verdana"/>
          <w:sz w:val="19"/>
          <w:szCs w:val="19"/>
        </w:rPr>
        <w:t>s</w:t>
      </w:r>
      <w:r w:rsidR="00577389" w:rsidRPr="00C51ACB">
        <w:rPr>
          <w:rFonts w:ascii="Verdana" w:hAnsi="Verdana"/>
          <w:sz w:val="19"/>
          <w:szCs w:val="19"/>
        </w:rPr>
        <w:t xml:space="preserve"> to water and sanitation.</w:t>
      </w:r>
      <w:r w:rsidR="00577389" w:rsidRPr="00C51ACB">
        <w:rPr>
          <w:rStyle w:val="FootnoteReference"/>
          <w:rFonts w:ascii="Verdana" w:hAnsi="Verdana"/>
          <w:sz w:val="19"/>
          <w:szCs w:val="19"/>
        </w:rPr>
        <w:footnoteReference w:id="19"/>
      </w:r>
      <w:r w:rsidR="00577389" w:rsidRPr="00C51ACB">
        <w:rPr>
          <w:rFonts w:ascii="Verdana" w:hAnsi="Verdana"/>
          <w:sz w:val="19"/>
          <w:szCs w:val="19"/>
        </w:rPr>
        <w:t xml:space="preserve">   </w:t>
      </w:r>
    </w:p>
    <w:p w14:paraId="4E595F2C" w14:textId="2DF5203E" w:rsidR="00AF4DF1" w:rsidRPr="00C51ACB" w:rsidRDefault="00E01D6D" w:rsidP="005A0237">
      <w:pPr>
        <w:spacing w:line="240" w:lineRule="auto"/>
        <w:rPr>
          <w:rFonts w:ascii="Verdana" w:hAnsi="Verdana"/>
          <w:sz w:val="19"/>
          <w:szCs w:val="19"/>
        </w:rPr>
      </w:pPr>
      <w:r w:rsidRPr="00C51ACB">
        <w:rPr>
          <w:rFonts w:ascii="Verdana" w:hAnsi="Verdana"/>
          <w:sz w:val="19"/>
          <w:szCs w:val="19"/>
        </w:rPr>
        <w:t>Transgender</w:t>
      </w:r>
      <w:r w:rsidR="00077D25">
        <w:rPr>
          <w:rFonts w:ascii="Verdana" w:hAnsi="Verdana"/>
          <w:sz w:val="19"/>
          <w:szCs w:val="19"/>
        </w:rPr>
        <w:t xml:space="preserve"> </w:t>
      </w:r>
      <w:r w:rsidR="00B35475">
        <w:rPr>
          <w:rFonts w:ascii="Verdana" w:hAnsi="Verdana"/>
          <w:sz w:val="19"/>
          <w:szCs w:val="19"/>
        </w:rPr>
        <w:t xml:space="preserve">persons </w:t>
      </w:r>
      <w:r w:rsidR="00077D25">
        <w:rPr>
          <w:rFonts w:ascii="Verdana" w:hAnsi="Verdana"/>
          <w:sz w:val="19"/>
          <w:szCs w:val="19"/>
        </w:rPr>
        <w:t>and non-binary</w:t>
      </w:r>
      <w:r w:rsidRPr="00C51ACB">
        <w:rPr>
          <w:rFonts w:ascii="Verdana" w:hAnsi="Verdana"/>
          <w:sz w:val="19"/>
          <w:szCs w:val="19"/>
        </w:rPr>
        <w:t xml:space="preserve"> persons</w:t>
      </w:r>
      <w:r w:rsidR="00751293" w:rsidRPr="00C51ACB">
        <w:rPr>
          <w:rFonts w:ascii="Verdana" w:hAnsi="Verdana"/>
          <w:sz w:val="19"/>
          <w:szCs w:val="19"/>
        </w:rPr>
        <w:t xml:space="preserve"> </w:t>
      </w:r>
      <w:r w:rsidR="00920B32">
        <w:rPr>
          <w:rFonts w:ascii="Verdana" w:hAnsi="Verdana"/>
          <w:sz w:val="19"/>
          <w:szCs w:val="19"/>
        </w:rPr>
        <w:t xml:space="preserve">fear </w:t>
      </w:r>
      <w:r w:rsidR="00920B32" w:rsidRPr="00C51ACB">
        <w:rPr>
          <w:rFonts w:ascii="Verdana" w:hAnsi="Verdana"/>
          <w:sz w:val="19"/>
          <w:szCs w:val="19"/>
        </w:rPr>
        <w:t xml:space="preserve">discrimination and violence </w:t>
      </w:r>
      <w:r w:rsidR="00751293" w:rsidRPr="00C51ACB">
        <w:rPr>
          <w:rFonts w:ascii="Verdana" w:hAnsi="Verdana"/>
          <w:sz w:val="19"/>
          <w:szCs w:val="19"/>
        </w:rPr>
        <w:t>in accessing public sanitation</w:t>
      </w:r>
      <w:r w:rsidRPr="00C51ACB">
        <w:rPr>
          <w:rFonts w:ascii="Verdana" w:hAnsi="Verdana"/>
          <w:sz w:val="19"/>
          <w:szCs w:val="19"/>
        </w:rPr>
        <w:t xml:space="preserve"> facilities such as </w:t>
      </w:r>
      <w:r w:rsidR="00C613CE" w:rsidRPr="00C51ACB">
        <w:rPr>
          <w:rFonts w:ascii="Verdana" w:hAnsi="Verdana"/>
          <w:sz w:val="19"/>
          <w:szCs w:val="19"/>
        </w:rPr>
        <w:t xml:space="preserve">public </w:t>
      </w:r>
      <w:r w:rsidRPr="00C51ACB">
        <w:rPr>
          <w:rFonts w:ascii="Verdana" w:hAnsi="Verdana"/>
          <w:sz w:val="19"/>
          <w:szCs w:val="19"/>
        </w:rPr>
        <w:t>toilets</w:t>
      </w:r>
      <w:r w:rsidR="00C613CE" w:rsidRPr="00C51ACB">
        <w:rPr>
          <w:rFonts w:ascii="Verdana" w:hAnsi="Verdana"/>
          <w:sz w:val="19"/>
          <w:szCs w:val="19"/>
        </w:rPr>
        <w:t>.</w:t>
      </w:r>
      <w:r w:rsidR="005A72B9" w:rsidRPr="00C51ACB">
        <w:rPr>
          <w:rStyle w:val="FootnoteReference"/>
          <w:rFonts w:ascii="Verdana" w:hAnsi="Verdana"/>
          <w:sz w:val="19"/>
          <w:szCs w:val="19"/>
        </w:rPr>
        <w:footnoteReference w:id="20"/>
      </w:r>
      <w:r w:rsidR="00C613CE" w:rsidRPr="00C51ACB">
        <w:rPr>
          <w:rFonts w:ascii="Verdana" w:hAnsi="Verdana"/>
          <w:sz w:val="19"/>
          <w:szCs w:val="19"/>
        </w:rPr>
        <w:t xml:space="preserve"> </w:t>
      </w:r>
      <w:r w:rsidR="00AF4DF1" w:rsidRPr="00C51ACB">
        <w:rPr>
          <w:rFonts w:ascii="Verdana" w:hAnsi="Verdana"/>
          <w:sz w:val="19"/>
          <w:szCs w:val="19"/>
        </w:rPr>
        <w:t xml:space="preserve">In her </w:t>
      </w:r>
      <w:r w:rsidR="005A72B9" w:rsidRPr="00C51ACB">
        <w:rPr>
          <w:rFonts w:ascii="Verdana" w:hAnsi="Verdana"/>
          <w:sz w:val="19"/>
          <w:szCs w:val="19"/>
        </w:rPr>
        <w:t>2012 report</w:t>
      </w:r>
      <w:r w:rsidR="00AF4DF1" w:rsidRPr="00C51ACB">
        <w:rPr>
          <w:rFonts w:ascii="Verdana" w:hAnsi="Verdana"/>
          <w:sz w:val="19"/>
          <w:szCs w:val="19"/>
        </w:rPr>
        <w:t>, the former Special</w:t>
      </w:r>
      <w:r w:rsidR="00AF4DF1" w:rsidRPr="00C51ACB">
        <w:rPr>
          <w:rFonts w:ascii="Verdana" w:hAnsi="Verdana" w:cs="Arial"/>
          <w:sz w:val="19"/>
          <w:szCs w:val="19"/>
        </w:rPr>
        <w:t xml:space="preserve"> Rapporteur </w:t>
      </w:r>
      <w:r w:rsidR="00FB49BB" w:rsidRPr="00C51ACB">
        <w:rPr>
          <w:rFonts w:ascii="Verdana" w:hAnsi="Verdana"/>
          <w:sz w:val="19"/>
          <w:szCs w:val="19"/>
        </w:rPr>
        <w:t>recogni</w:t>
      </w:r>
      <w:r w:rsidR="00920B32">
        <w:rPr>
          <w:rFonts w:ascii="Verdana" w:hAnsi="Verdana"/>
          <w:sz w:val="19"/>
          <w:szCs w:val="19"/>
        </w:rPr>
        <w:t>z</w:t>
      </w:r>
      <w:r w:rsidR="00FB49BB" w:rsidRPr="00C51ACB">
        <w:rPr>
          <w:rFonts w:ascii="Verdana" w:hAnsi="Verdana"/>
          <w:sz w:val="19"/>
          <w:szCs w:val="19"/>
        </w:rPr>
        <w:t xml:space="preserve">ed that the use of </w:t>
      </w:r>
      <w:r w:rsidR="005A72B9" w:rsidRPr="00C51ACB">
        <w:rPr>
          <w:rFonts w:ascii="Verdana" w:hAnsi="Verdana"/>
          <w:sz w:val="19"/>
          <w:szCs w:val="19"/>
        </w:rPr>
        <w:t xml:space="preserve">gender identity segregated </w:t>
      </w:r>
      <w:r w:rsidR="00FB49BB" w:rsidRPr="00C51ACB">
        <w:rPr>
          <w:rFonts w:ascii="Verdana" w:hAnsi="Verdana"/>
          <w:sz w:val="19"/>
          <w:szCs w:val="19"/>
        </w:rPr>
        <w:t xml:space="preserve">public </w:t>
      </w:r>
      <w:r w:rsidR="005A72B9" w:rsidRPr="00C51ACB">
        <w:rPr>
          <w:rFonts w:ascii="Verdana" w:hAnsi="Verdana"/>
          <w:sz w:val="19"/>
          <w:szCs w:val="19"/>
        </w:rPr>
        <w:t>bathrooms</w:t>
      </w:r>
      <w:r w:rsidR="00AF4DF1" w:rsidRPr="00C51ACB">
        <w:rPr>
          <w:rFonts w:ascii="Verdana" w:hAnsi="Verdana"/>
          <w:sz w:val="19"/>
          <w:szCs w:val="19"/>
        </w:rPr>
        <w:t>:</w:t>
      </w:r>
      <w:r w:rsidR="005A72B9" w:rsidRPr="00C51ACB">
        <w:rPr>
          <w:rFonts w:ascii="Verdana" w:hAnsi="Verdana"/>
          <w:sz w:val="19"/>
          <w:szCs w:val="19"/>
        </w:rPr>
        <w:t xml:space="preserve"> </w:t>
      </w:r>
    </w:p>
    <w:p w14:paraId="32D88544" w14:textId="77777777" w:rsidR="00AF4DF1" w:rsidRPr="00C51ACB" w:rsidRDefault="005A72B9" w:rsidP="005A0237">
      <w:pPr>
        <w:spacing w:line="240" w:lineRule="auto"/>
        <w:ind w:left="720"/>
        <w:rPr>
          <w:rFonts w:ascii="Verdana" w:hAnsi="Verdana"/>
          <w:sz w:val="19"/>
          <w:szCs w:val="19"/>
        </w:rPr>
      </w:pPr>
      <w:r w:rsidRPr="00C51ACB">
        <w:rPr>
          <w:rFonts w:ascii="Verdana" w:hAnsi="Verdana"/>
          <w:sz w:val="19"/>
          <w:szCs w:val="19"/>
        </w:rPr>
        <w:t>“</w:t>
      </w:r>
      <w:r w:rsidR="00FD228B" w:rsidRPr="00C51ACB">
        <w:rPr>
          <w:rFonts w:ascii="Verdana" w:hAnsi="Verdana"/>
          <w:sz w:val="19"/>
          <w:szCs w:val="19"/>
        </w:rPr>
        <w:t>has</w:t>
      </w:r>
      <w:r w:rsidRPr="00C51ACB">
        <w:rPr>
          <w:rFonts w:ascii="Verdana" w:hAnsi="Verdana"/>
          <w:sz w:val="19"/>
          <w:szCs w:val="19"/>
        </w:rPr>
        <w:t xml:space="preserve"> been associated with exclusion, denial of access, verbal harassment, physical abuse and sometimes even the arrest of transgender and intersex individuals. More broadly, they are at risk of exposure, violence and harassment in seeking access to services such as water and sanitation when those are in common areas, or where privacy is unavailable or compromised.”</w:t>
      </w:r>
      <w:r w:rsidRPr="00C51ACB">
        <w:rPr>
          <w:rStyle w:val="FootnoteReference"/>
          <w:rFonts w:ascii="Verdana" w:hAnsi="Verdana"/>
          <w:sz w:val="19"/>
          <w:szCs w:val="19"/>
        </w:rPr>
        <w:footnoteReference w:id="21"/>
      </w:r>
      <w:r w:rsidRPr="00C51ACB">
        <w:rPr>
          <w:rFonts w:ascii="Verdana" w:hAnsi="Verdana"/>
          <w:sz w:val="19"/>
          <w:szCs w:val="19"/>
        </w:rPr>
        <w:t xml:space="preserve"> </w:t>
      </w:r>
    </w:p>
    <w:p w14:paraId="11B4B69D" w14:textId="2FE2C018" w:rsidR="00AF4DF1" w:rsidRPr="00C51ACB" w:rsidRDefault="00AF4DF1" w:rsidP="005A0237">
      <w:pPr>
        <w:spacing w:line="240" w:lineRule="auto"/>
        <w:rPr>
          <w:rFonts w:ascii="Verdana" w:hAnsi="Verdana"/>
          <w:sz w:val="19"/>
          <w:szCs w:val="19"/>
        </w:rPr>
      </w:pPr>
      <w:r w:rsidRPr="00C51ACB">
        <w:rPr>
          <w:rFonts w:ascii="Verdana" w:hAnsi="Verdana"/>
          <w:sz w:val="19"/>
          <w:szCs w:val="19"/>
        </w:rPr>
        <w:t xml:space="preserve">This built on the </w:t>
      </w:r>
      <w:r w:rsidR="005A72B9" w:rsidRPr="00C51ACB">
        <w:rPr>
          <w:rFonts w:ascii="Verdana" w:hAnsi="Verdana"/>
          <w:sz w:val="19"/>
          <w:szCs w:val="19"/>
        </w:rPr>
        <w:t>Special Rapporteur</w:t>
      </w:r>
      <w:r w:rsidRPr="00C51ACB">
        <w:rPr>
          <w:rFonts w:ascii="Verdana" w:hAnsi="Verdana"/>
          <w:sz w:val="19"/>
          <w:szCs w:val="19"/>
        </w:rPr>
        <w:t xml:space="preserve">’s </w:t>
      </w:r>
      <w:r w:rsidR="005A72B9" w:rsidRPr="00C51ACB">
        <w:rPr>
          <w:rFonts w:ascii="Verdana" w:hAnsi="Verdana"/>
          <w:sz w:val="19"/>
          <w:szCs w:val="19"/>
        </w:rPr>
        <w:t xml:space="preserve">2011 report on </w:t>
      </w:r>
      <w:r w:rsidR="00A55087" w:rsidRPr="00C51ACB">
        <w:rPr>
          <w:rFonts w:ascii="Verdana" w:hAnsi="Verdana"/>
          <w:sz w:val="19"/>
          <w:szCs w:val="19"/>
        </w:rPr>
        <w:t>her mission to the USA</w:t>
      </w:r>
      <w:r w:rsidRPr="00C51ACB">
        <w:rPr>
          <w:rFonts w:ascii="Verdana" w:hAnsi="Verdana"/>
          <w:sz w:val="19"/>
          <w:szCs w:val="19"/>
        </w:rPr>
        <w:t xml:space="preserve"> in which she acknowledged</w:t>
      </w:r>
      <w:r w:rsidR="0065284F">
        <w:rPr>
          <w:rFonts w:ascii="Verdana" w:hAnsi="Verdana"/>
          <w:sz w:val="19"/>
          <w:szCs w:val="19"/>
        </w:rPr>
        <w:t xml:space="preserve"> that</w:t>
      </w:r>
      <w:r w:rsidRPr="00C51ACB">
        <w:rPr>
          <w:rFonts w:ascii="Verdana" w:hAnsi="Verdana"/>
          <w:sz w:val="19"/>
          <w:szCs w:val="19"/>
        </w:rPr>
        <w:t xml:space="preserve">: </w:t>
      </w:r>
    </w:p>
    <w:p w14:paraId="7D3430BE" w14:textId="53D12905" w:rsidR="00101B63" w:rsidRPr="00C51ACB" w:rsidRDefault="005A72B9" w:rsidP="005A0237">
      <w:pPr>
        <w:spacing w:line="240" w:lineRule="auto"/>
        <w:ind w:left="720"/>
        <w:rPr>
          <w:rFonts w:ascii="Verdana" w:hAnsi="Verdana"/>
          <w:sz w:val="19"/>
          <w:szCs w:val="19"/>
        </w:rPr>
      </w:pPr>
      <w:r w:rsidRPr="00C51ACB">
        <w:rPr>
          <w:rFonts w:ascii="Verdana" w:hAnsi="Verdana"/>
          <w:sz w:val="19"/>
          <w:szCs w:val="19"/>
        </w:rPr>
        <w:t>“</w:t>
      </w:r>
      <w:r w:rsidR="00AF4DF1" w:rsidRPr="00C51ACB">
        <w:rPr>
          <w:rFonts w:ascii="Verdana" w:hAnsi="Verdana"/>
          <w:sz w:val="19"/>
          <w:szCs w:val="19"/>
        </w:rPr>
        <w:t xml:space="preserve">[the] </w:t>
      </w:r>
      <w:r w:rsidRPr="00C51ACB">
        <w:rPr>
          <w:rFonts w:ascii="Verdana" w:hAnsi="Verdana"/>
          <w:sz w:val="19"/>
          <w:szCs w:val="19"/>
        </w:rPr>
        <w:t>evacuation of the bowels and bladder is a necessary biological function and … denial of opportunities to do so in a lawful and dignified manner can both compromise human dignity and cause suffering, such denial could, in some cases (e.g., where it results from deliberate actions or clear neglect) amount to cruel, inhumane or degrading treatment. Individuals are sometimes compelled to go to extraordinary lengths to prevent such suffering”.</w:t>
      </w:r>
      <w:r w:rsidRPr="00C51ACB">
        <w:rPr>
          <w:rStyle w:val="FootnoteReference"/>
          <w:rFonts w:ascii="Verdana" w:hAnsi="Verdana"/>
          <w:sz w:val="19"/>
          <w:szCs w:val="19"/>
        </w:rPr>
        <w:footnoteReference w:id="22"/>
      </w:r>
    </w:p>
    <w:p w14:paraId="473E1F8A" w14:textId="0B6B392D" w:rsidR="00101B63" w:rsidRPr="00C51ACB" w:rsidRDefault="00101B63" w:rsidP="000F2E2F">
      <w:pPr>
        <w:spacing w:line="240" w:lineRule="auto"/>
        <w:rPr>
          <w:rFonts w:ascii="Verdana" w:hAnsi="Verdana"/>
          <w:sz w:val="19"/>
          <w:szCs w:val="19"/>
        </w:rPr>
      </w:pPr>
      <w:r w:rsidRPr="00C51ACB">
        <w:rPr>
          <w:rFonts w:ascii="Verdana" w:hAnsi="Verdana"/>
          <w:sz w:val="19"/>
          <w:szCs w:val="19"/>
        </w:rPr>
        <w:t>The Yogyakarta Principles</w:t>
      </w:r>
      <w:r w:rsidRPr="00C51ACB">
        <w:rPr>
          <w:rStyle w:val="FootnoteReference"/>
          <w:rFonts w:ascii="Verdana" w:hAnsi="Verdana"/>
          <w:sz w:val="19"/>
          <w:szCs w:val="19"/>
        </w:rPr>
        <w:footnoteReference w:id="23"/>
      </w:r>
      <w:r w:rsidRPr="00C51ACB">
        <w:rPr>
          <w:rFonts w:ascii="Verdana" w:hAnsi="Verdana"/>
          <w:sz w:val="19"/>
          <w:szCs w:val="19"/>
        </w:rPr>
        <w:t xml:space="preserve"> call upon states to ensure safe and dignified access to adequate sanitation facilities for all persons without SOGIESC based discrimination.</w:t>
      </w:r>
      <w:r w:rsidRPr="00C51ACB">
        <w:rPr>
          <w:rStyle w:val="FootnoteReference"/>
          <w:rFonts w:ascii="Verdana" w:hAnsi="Verdana"/>
          <w:sz w:val="19"/>
          <w:szCs w:val="19"/>
        </w:rPr>
        <w:footnoteReference w:id="24"/>
      </w:r>
      <w:r w:rsidRPr="00C51ACB">
        <w:rPr>
          <w:rFonts w:ascii="Verdana" w:hAnsi="Verdana"/>
          <w:sz w:val="19"/>
          <w:szCs w:val="19"/>
        </w:rPr>
        <w:t xml:space="preserve"> Moreover, as has </w:t>
      </w:r>
      <w:r w:rsidRPr="00C51ACB">
        <w:rPr>
          <w:rFonts w:ascii="Verdana" w:hAnsi="Verdana"/>
          <w:sz w:val="19"/>
          <w:szCs w:val="19"/>
        </w:rPr>
        <w:lastRenderedPageBreak/>
        <w:t xml:space="preserve">been indicated, non-discriminatory access to a wide range of public spaces </w:t>
      </w:r>
      <w:r w:rsidR="00920B32">
        <w:rPr>
          <w:rFonts w:ascii="Verdana" w:hAnsi="Verdana"/>
          <w:sz w:val="19"/>
          <w:szCs w:val="19"/>
        </w:rPr>
        <w:t xml:space="preserve">as </w:t>
      </w:r>
      <w:r w:rsidRPr="00C51ACB">
        <w:rPr>
          <w:rFonts w:ascii="Verdana" w:hAnsi="Verdana"/>
          <w:sz w:val="19"/>
          <w:szCs w:val="19"/>
        </w:rPr>
        <w:t>such is also a right in terms of the Indian Constitution.</w:t>
      </w:r>
      <w:r w:rsidRPr="00C51ACB">
        <w:rPr>
          <w:rStyle w:val="FootnoteReference"/>
          <w:rFonts w:ascii="Verdana" w:hAnsi="Verdana"/>
          <w:sz w:val="19"/>
          <w:szCs w:val="19"/>
        </w:rPr>
        <w:footnoteReference w:id="25"/>
      </w:r>
    </w:p>
    <w:p w14:paraId="563EEE05" w14:textId="28F01CD5" w:rsidR="00101B63" w:rsidRPr="00C51ACB" w:rsidRDefault="00101B63" w:rsidP="005A0237">
      <w:pPr>
        <w:spacing w:line="240" w:lineRule="auto"/>
        <w:rPr>
          <w:rFonts w:ascii="Verdana" w:hAnsi="Verdana"/>
          <w:sz w:val="19"/>
          <w:szCs w:val="19"/>
        </w:rPr>
      </w:pPr>
      <w:r w:rsidRPr="00C51ACB">
        <w:rPr>
          <w:rFonts w:ascii="Verdana" w:hAnsi="Verdana"/>
          <w:sz w:val="19"/>
          <w:szCs w:val="19"/>
        </w:rPr>
        <w:t xml:space="preserve">The human right to water and sanitation has also been highlighted in the Sustainable Development Goals. Goal 6 calls for clean water and sanitation for all persons. Target 6.3 seeks to “achieve access to adequate and equitable sanitation and hygiene for all and end open defecation, paying special attention to the needs of women and girls and those in vulnerable situations” by 2030. </w:t>
      </w:r>
    </w:p>
    <w:p w14:paraId="44F78184" w14:textId="3B8C87C7" w:rsidR="005A72B9" w:rsidRPr="00C51ACB" w:rsidRDefault="00DD76EB" w:rsidP="005A0237">
      <w:pPr>
        <w:spacing w:line="240" w:lineRule="auto"/>
        <w:rPr>
          <w:rFonts w:ascii="Verdana" w:hAnsi="Verdana"/>
          <w:sz w:val="19"/>
          <w:szCs w:val="19"/>
        </w:rPr>
      </w:pPr>
      <w:r w:rsidRPr="00C51ACB">
        <w:rPr>
          <w:rFonts w:ascii="Verdana" w:hAnsi="Verdana"/>
          <w:sz w:val="19"/>
          <w:szCs w:val="19"/>
        </w:rPr>
        <w:t>T</w:t>
      </w:r>
      <w:r w:rsidR="00FD228B" w:rsidRPr="00C51ACB">
        <w:rPr>
          <w:rFonts w:ascii="Verdana" w:hAnsi="Verdana"/>
          <w:sz w:val="19"/>
          <w:szCs w:val="19"/>
        </w:rPr>
        <w:t>ransgender</w:t>
      </w:r>
      <w:r w:rsidR="00C87F2A">
        <w:rPr>
          <w:rFonts w:ascii="Verdana" w:hAnsi="Verdana"/>
          <w:sz w:val="19"/>
          <w:szCs w:val="19"/>
        </w:rPr>
        <w:t xml:space="preserve"> persons</w:t>
      </w:r>
      <w:r w:rsidRPr="00C51ACB">
        <w:rPr>
          <w:rFonts w:ascii="Verdana" w:hAnsi="Verdana"/>
          <w:sz w:val="19"/>
          <w:szCs w:val="19"/>
        </w:rPr>
        <w:t xml:space="preserve"> </w:t>
      </w:r>
      <w:r w:rsidR="00886F3E">
        <w:rPr>
          <w:rFonts w:ascii="Verdana" w:hAnsi="Verdana"/>
          <w:sz w:val="19"/>
          <w:szCs w:val="19"/>
        </w:rPr>
        <w:t xml:space="preserve">and non-binary </w:t>
      </w:r>
      <w:r w:rsidR="00C87F2A">
        <w:rPr>
          <w:rFonts w:ascii="Verdana" w:hAnsi="Verdana"/>
          <w:sz w:val="19"/>
          <w:szCs w:val="19"/>
        </w:rPr>
        <w:t>individuals</w:t>
      </w:r>
      <w:r w:rsidR="00FD228B" w:rsidRPr="00C51ACB">
        <w:rPr>
          <w:rFonts w:ascii="Verdana" w:hAnsi="Verdana"/>
          <w:sz w:val="19"/>
          <w:szCs w:val="19"/>
        </w:rPr>
        <w:t xml:space="preserve"> inability to access public toilets </w:t>
      </w:r>
      <w:r w:rsidR="00AF4DF1" w:rsidRPr="00C51ACB">
        <w:rPr>
          <w:rFonts w:ascii="Verdana" w:hAnsi="Verdana"/>
          <w:sz w:val="19"/>
          <w:szCs w:val="19"/>
        </w:rPr>
        <w:t xml:space="preserve">in India </w:t>
      </w:r>
      <w:r w:rsidR="00FD228B" w:rsidRPr="00C51ACB">
        <w:rPr>
          <w:rFonts w:ascii="Verdana" w:hAnsi="Verdana"/>
          <w:sz w:val="19"/>
          <w:szCs w:val="19"/>
        </w:rPr>
        <w:t>stems</w:t>
      </w:r>
      <w:r w:rsidRPr="00C51ACB">
        <w:rPr>
          <w:rFonts w:ascii="Verdana" w:hAnsi="Verdana"/>
          <w:sz w:val="19"/>
          <w:szCs w:val="19"/>
        </w:rPr>
        <w:t xml:space="preserve"> </w:t>
      </w:r>
      <w:r w:rsidR="00AF4DF1" w:rsidRPr="00C51ACB">
        <w:rPr>
          <w:rFonts w:ascii="Verdana" w:hAnsi="Verdana"/>
          <w:sz w:val="19"/>
          <w:szCs w:val="19"/>
        </w:rPr>
        <w:t>in part</w:t>
      </w:r>
      <w:r w:rsidR="00FD228B" w:rsidRPr="00C51ACB">
        <w:rPr>
          <w:rFonts w:ascii="Verdana" w:hAnsi="Verdana"/>
          <w:sz w:val="19"/>
          <w:szCs w:val="19"/>
        </w:rPr>
        <w:t xml:space="preserve"> from </w:t>
      </w:r>
      <w:r w:rsidRPr="00C51ACB">
        <w:rPr>
          <w:rFonts w:ascii="Verdana" w:hAnsi="Verdana"/>
          <w:sz w:val="19"/>
          <w:szCs w:val="19"/>
        </w:rPr>
        <w:t xml:space="preserve">the State’s </w:t>
      </w:r>
      <w:r w:rsidR="00AF4DF1" w:rsidRPr="00C51ACB">
        <w:rPr>
          <w:rFonts w:ascii="Verdana" w:hAnsi="Verdana"/>
          <w:sz w:val="19"/>
          <w:szCs w:val="19"/>
        </w:rPr>
        <w:t>failure to take</w:t>
      </w:r>
      <w:r w:rsidR="00FD228B" w:rsidRPr="00C51ACB">
        <w:rPr>
          <w:rFonts w:ascii="Verdana" w:hAnsi="Verdana"/>
          <w:sz w:val="19"/>
          <w:szCs w:val="19"/>
        </w:rPr>
        <w:t xml:space="preserve"> </w:t>
      </w:r>
      <w:r w:rsidR="00FB49BB" w:rsidRPr="00C51ACB">
        <w:rPr>
          <w:rFonts w:ascii="Verdana" w:hAnsi="Verdana"/>
          <w:sz w:val="19"/>
          <w:szCs w:val="19"/>
        </w:rPr>
        <w:t xml:space="preserve">legislative </w:t>
      </w:r>
      <w:r w:rsidRPr="00C51ACB">
        <w:rPr>
          <w:rFonts w:ascii="Verdana" w:hAnsi="Verdana"/>
          <w:sz w:val="19"/>
          <w:szCs w:val="19"/>
        </w:rPr>
        <w:t>and</w:t>
      </w:r>
      <w:r w:rsidR="00FB49BB" w:rsidRPr="00C51ACB">
        <w:rPr>
          <w:rFonts w:ascii="Verdana" w:hAnsi="Verdana"/>
          <w:sz w:val="19"/>
          <w:szCs w:val="19"/>
        </w:rPr>
        <w:t xml:space="preserve"> other measures</w:t>
      </w:r>
      <w:r w:rsidRPr="00C51ACB">
        <w:rPr>
          <w:rFonts w:ascii="Verdana" w:hAnsi="Verdana"/>
          <w:sz w:val="19"/>
          <w:szCs w:val="19"/>
        </w:rPr>
        <w:t>,</w:t>
      </w:r>
      <w:r w:rsidR="00AF4DF1" w:rsidRPr="00C51ACB">
        <w:rPr>
          <w:rFonts w:ascii="Verdana" w:hAnsi="Verdana"/>
          <w:sz w:val="19"/>
          <w:szCs w:val="19"/>
        </w:rPr>
        <w:t xml:space="preserve"> within its maximum available resources to reali</w:t>
      </w:r>
      <w:r w:rsidR="00920B32">
        <w:rPr>
          <w:rFonts w:ascii="Verdana" w:hAnsi="Verdana"/>
          <w:sz w:val="19"/>
          <w:szCs w:val="19"/>
        </w:rPr>
        <w:t>z</w:t>
      </w:r>
      <w:r w:rsidR="00AF4DF1" w:rsidRPr="00C51ACB">
        <w:rPr>
          <w:rFonts w:ascii="Verdana" w:hAnsi="Verdana"/>
          <w:sz w:val="19"/>
          <w:szCs w:val="19"/>
        </w:rPr>
        <w:t>e the rights to water and sanitation. Such failures</w:t>
      </w:r>
      <w:r w:rsidRPr="00C51ACB">
        <w:rPr>
          <w:rFonts w:ascii="Verdana" w:hAnsi="Verdana"/>
          <w:sz w:val="19"/>
          <w:szCs w:val="19"/>
        </w:rPr>
        <w:t xml:space="preserve"> includ</w:t>
      </w:r>
      <w:r w:rsidR="00920B32">
        <w:rPr>
          <w:rFonts w:ascii="Verdana" w:hAnsi="Verdana"/>
          <w:sz w:val="19"/>
          <w:szCs w:val="19"/>
        </w:rPr>
        <w:t xml:space="preserve">e </w:t>
      </w:r>
      <w:r w:rsidR="00AF4DF1" w:rsidRPr="00C51ACB">
        <w:rPr>
          <w:rFonts w:ascii="Verdana" w:hAnsi="Verdana"/>
          <w:sz w:val="19"/>
          <w:szCs w:val="19"/>
        </w:rPr>
        <w:t xml:space="preserve">failures to </w:t>
      </w:r>
      <w:r w:rsidRPr="00C51ACB">
        <w:rPr>
          <w:rFonts w:ascii="Verdana" w:hAnsi="Verdana"/>
          <w:sz w:val="19"/>
          <w:szCs w:val="19"/>
        </w:rPr>
        <w:t xml:space="preserve">build gender neutral toilets and </w:t>
      </w:r>
      <w:r w:rsidR="00E07996">
        <w:rPr>
          <w:rFonts w:ascii="Verdana" w:hAnsi="Verdana"/>
          <w:sz w:val="19"/>
          <w:szCs w:val="19"/>
        </w:rPr>
        <w:t xml:space="preserve">to </w:t>
      </w:r>
      <w:r w:rsidRPr="00C51ACB">
        <w:rPr>
          <w:rFonts w:ascii="Verdana" w:hAnsi="Verdana"/>
          <w:sz w:val="19"/>
          <w:szCs w:val="19"/>
        </w:rPr>
        <w:t>combat societal stigma</w:t>
      </w:r>
      <w:r w:rsidR="00FD228B" w:rsidRPr="00C51ACB">
        <w:rPr>
          <w:rFonts w:ascii="Verdana" w:hAnsi="Verdana"/>
          <w:sz w:val="19"/>
          <w:szCs w:val="19"/>
        </w:rPr>
        <w:t>.</w:t>
      </w:r>
      <w:r w:rsidR="00A178DA" w:rsidRPr="00C51ACB">
        <w:rPr>
          <w:rStyle w:val="FootnoteReference"/>
          <w:rFonts w:ascii="Verdana" w:hAnsi="Verdana"/>
          <w:sz w:val="19"/>
          <w:szCs w:val="19"/>
        </w:rPr>
        <w:footnoteReference w:id="26"/>
      </w:r>
    </w:p>
    <w:p w14:paraId="7E310A11" w14:textId="0A7A1540" w:rsidR="00DD76EB" w:rsidRPr="00C51ACB" w:rsidRDefault="00AF4DF1" w:rsidP="005A0237">
      <w:pPr>
        <w:spacing w:line="240" w:lineRule="auto"/>
        <w:rPr>
          <w:rFonts w:ascii="Verdana" w:hAnsi="Verdana"/>
          <w:sz w:val="19"/>
          <w:szCs w:val="19"/>
        </w:rPr>
      </w:pPr>
      <w:r w:rsidRPr="00C51ACB">
        <w:rPr>
          <w:rFonts w:ascii="Verdana" w:hAnsi="Verdana"/>
          <w:sz w:val="19"/>
          <w:szCs w:val="19"/>
        </w:rPr>
        <w:t>Moreover, in addition to directly violating the access component of the right to water and sanitation, t</w:t>
      </w:r>
      <w:r w:rsidR="009D59E3" w:rsidRPr="00C51ACB">
        <w:rPr>
          <w:rFonts w:ascii="Verdana" w:hAnsi="Verdana"/>
          <w:sz w:val="19"/>
          <w:szCs w:val="19"/>
        </w:rPr>
        <w:t xml:space="preserve">he lack of adequate sanitation </w:t>
      </w:r>
      <w:r w:rsidR="000255CB" w:rsidRPr="00C51ACB">
        <w:rPr>
          <w:rFonts w:ascii="Verdana" w:hAnsi="Verdana"/>
          <w:sz w:val="19"/>
          <w:szCs w:val="19"/>
        </w:rPr>
        <w:t>further</w:t>
      </w:r>
      <w:r w:rsidR="009D59E3" w:rsidRPr="00C51ACB">
        <w:rPr>
          <w:rFonts w:ascii="Verdana" w:hAnsi="Verdana"/>
          <w:sz w:val="19"/>
          <w:szCs w:val="19"/>
        </w:rPr>
        <w:t xml:space="preserve"> restricts</w:t>
      </w:r>
      <w:r w:rsidRPr="00C51ACB">
        <w:rPr>
          <w:rFonts w:ascii="Verdana" w:hAnsi="Verdana"/>
          <w:sz w:val="19"/>
          <w:szCs w:val="19"/>
        </w:rPr>
        <w:t xml:space="preserve"> </w:t>
      </w:r>
      <w:r w:rsidR="00E07996">
        <w:rPr>
          <w:rFonts w:ascii="Verdana" w:hAnsi="Verdana"/>
          <w:sz w:val="19"/>
          <w:szCs w:val="19"/>
        </w:rPr>
        <w:t xml:space="preserve">the right of </w:t>
      </w:r>
      <w:r w:rsidRPr="00C51ACB">
        <w:rPr>
          <w:rFonts w:ascii="Verdana" w:hAnsi="Verdana"/>
          <w:sz w:val="19"/>
          <w:szCs w:val="19"/>
        </w:rPr>
        <w:t>LGBT</w:t>
      </w:r>
      <w:r w:rsidR="0065284F">
        <w:rPr>
          <w:rFonts w:ascii="Verdana" w:hAnsi="Verdana"/>
          <w:sz w:val="19"/>
          <w:szCs w:val="19"/>
        </w:rPr>
        <w:t>Q</w:t>
      </w:r>
      <w:r w:rsidRPr="00C51ACB">
        <w:rPr>
          <w:rFonts w:ascii="Verdana" w:hAnsi="Verdana"/>
          <w:sz w:val="19"/>
          <w:szCs w:val="19"/>
        </w:rPr>
        <w:t xml:space="preserve"> persons</w:t>
      </w:r>
      <w:r w:rsidR="00DD76EB" w:rsidRPr="00C51ACB">
        <w:rPr>
          <w:rFonts w:ascii="Verdana" w:hAnsi="Verdana"/>
          <w:sz w:val="19"/>
          <w:szCs w:val="19"/>
        </w:rPr>
        <w:t xml:space="preserve"> </w:t>
      </w:r>
      <w:r w:rsidR="009D59E3" w:rsidRPr="00C51ACB">
        <w:rPr>
          <w:rFonts w:ascii="Verdana" w:hAnsi="Verdana"/>
          <w:sz w:val="19"/>
          <w:szCs w:val="19"/>
        </w:rPr>
        <w:t>to access public spaces</w:t>
      </w:r>
      <w:r w:rsidR="00E07996">
        <w:rPr>
          <w:rFonts w:ascii="Verdana" w:hAnsi="Verdana"/>
          <w:sz w:val="19"/>
          <w:szCs w:val="19"/>
        </w:rPr>
        <w:t>,</w:t>
      </w:r>
      <w:r w:rsidR="009D59E3" w:rsidRPr="00C51ACB">
        <w:rPr>
          <w:rFonts w:ascii="Verdana" w:hAnsi="Verdana"/>
          <w:sz w:val="19"/>
          <w:szCs w:val="19"/>
        </w:rPr>
        <w:t xml:space="preserve"> such as streets</w:t>
      </w:r>
      <w:r w:rsidR="00E82F09" w:rsidRPr="00C51ACB">
        <w:rPr>
          <w:rFonts w:ascii="Verdana" w:hAnsi="Verdana"/>
          <w:sz w:val="19"/>
          <w:szCs w:val="19"/>
        </w:rPr>
        <w:t xml:space="preserve">, </w:t>
      </w:r>
      <w:r w:rsidR="009D59E3" w:rsidRPr="00C51ACB">
        <w:rPr>
          <w:rFonts w:ascii="Verdana" w:hAnsi="Verdana"/>
          <w:sz w:val="19"/>
          <w:szCs w:val="19"/>
        </w:rPr>
        <w:t xml:space="preserve">transportation facilities </w:t>
      </w:r>
      <w:r w:rsidRPr="00C51ACB">
        <w:rPr>
          <w:rFonts w:ascii="Verdana" w:hAnsi="Verdana"/>
          <w:sz w:val="19"/>
          <w:szCs w:val="19"/>
        </w:rPr>
        <w:t>(</w:t>
      </w:r>
      <w:r w:rsidR="009D59E3" w:rsidRPr="00C51ACB">
        <w:rPr>
          <w:rFonts w:ascii="Verdana" w:hAnsi="Verdana"/>
          <w:sz w:val="19"/>
          <w:szCs w:val="19"/>
        </w:rPr>
        <w:t>particularly for long distance travel</w:t>
      </w:r>
      <w:r w:rsidRPr="00C51ACB">
        <w:rPr>
          <w:rFonts w:ascii="Verdana" w:hAnsi="Verdana"/>
          <w:sz w:val="19"/>
          <w:szCs w:val="19"/>
        </w:rPr>
        <w:t>)</w:t>
      </w:r>
      <w:r w:rsidR="009D59E3" w:rsidRPr="00C51ACB">
        <w:rPr>
          <w:rFonts w:ascii="Verdana" w:hAnsi="Verdana"/>
          <w:sz w:val="19"/>
          <w:szCs w:val="19"/>
        </w:rPr>
        <w:t>, hotels</w:t>
      </w:r>
      <w:r w:rsidRPr="00C51ACB">
        <w:rPr>
          <w:rFonts w:ascii="Verdana" w:hAnsi="Verdana"/>
          <w:sz w:val="19"/>
          <w:szCs w:val="19"/>
        </w:rPr>
        <w:t xml:space="preserve"> and</w:t>
      </w:r>
      <w:r w:rsidR="009D59E3" w:rsidRPr="00C51ACB">
        <w:rPr>
          <w:rFonts w:ascii="Verdana" w:hAnsi="Verdana"/>
          <w:sz w:val="19"/>
          <w:szCs w:val="19"/>
        </w:rPr>
        <w:t xml:space="preserve"> parks</w:t>
      </w:r>
      <w:r w:rsidRPr="00C51ACB">
        <w:rPr>
          <w:rFonts w:ascii="Verdana" w:hAnsi="Verdana"/>
          <w:sz w:val="19"/>
          <w:szCs w:val="19"/>
        </w:rPr>
        <w:t>.</w:t>
      </w:r>
      <w:r w:rsidR="009D59E3" w:rsidRPr="00C51ACB">
        <w:rPr>
          <w:rFonts w:ascii="Verdana" w:hAnsi="Verdana"/>
          <w:sz w:val="19"/>
          <w:szCs w:val="19"/>
        </w:rPr>
        <w:t xml:space="preserve"> </w:t>
      </w:r>
      <w:r w:rsidRPr="00C51ACB">
        <w:rPr>
          <w:rFonts w:ascii="Verdana" w:hAnsi="Verdana"/>
          <w:sz w:val="19"/>
          <w:szCs w:val="19"/>
        </w:rPr>
        <w:t xml:space="preserve">Access to such public spaces </w:t>
      </w:r>
      <w:r w:rsidR="009D59E3" w:rsidRPr="00C51ACB">
        <w:rPr>
          <w:rFonts w:ascii="Verdana" w:hAnsi="Verdana"/>
          <w:sz w:val="19"/>
          <w:szCs w:val="19"/>
        </w:rPr>
        <w:t xml:space="preserve">has been recognized as a vital precondition for the effective and equal enjoyment of </w:t>
      </w:r>
      <w:r w:rsidRPr="00C51ACB">
        <w:rPr>
          <w:rFonts w:ascii="Verdana" w:hAnsi="Verdana"/>
          <w:sz w:val="19"/>
          <w:szCs w:val="19"/>
        </w:rPr>
        <w:t>all human rights</w:t>
      </w:r>
      <w:r w:rsidR="009D59E3" w:rsidRPr="00C51ACB">
        <w:rPr>
          <w:rFonts w:ascii="Verdana" w:hAnsi="Verdana"/>
          <w:sz w:val="19"/>
          <w:szCs w:val="19"/>
        </w:rPr>
        <w:t xml:space="preserve"> under various international legal instruments</w:t>
      </w:r>
      <w:r w:rsidR="000255CB" w:rsidRPr="00C51ACB">
        <w:rPr>
          <w:rFonts w:ascii="Verdana" w:hAnsi="Verdana"/>
          <w:sz w:val="19"/>
          <w:szCs w:val="19"/>
        </w:rPr>
        <w:t>.</w:t>
      </w:r>
      <w:r w:rsidR="009D59E3" w:rsidRPr="00C51ACB">
        <w:rPr>
          <w:rStyle w:val="FootnoteReference"/>
          <w:rFonts w:ascii="Verdana" w:hAnsi="Verdana"/>
          <w:sz w:val="19"/>
          <w:szCs w:val="19"/>
        </w:rPr>
        <w:footnoteReference w:id="27"/>
      </w:r>
      <w:r w:rsidR="000255CB" w:rsidRPr="00C51ACB">
        <w:rPr>
          <w:rFonts w:ascii="Verdana" w:hAnsi="Verdana"/>
          <w:sz w:val="19"/>
          <w:szCs w:val="19"/>
        </w:rPr>
        <w:t xml:space="preserve"> </w:t>
      </w:r>
      <w:r w:rsidR="002C3BA8">
        <w:rPr>
          <w:rFonts w:ascii="Verdana" w:hAnsi="Verdana"/>
          <w:sz w:val="19"/>
          <w:szCs w:val="19"/>
        </w:rPr>
        <w:t xml:space="preserve">The Supreme Court of India has also </w:t>
      </w:r>
      <w:r w:rsidR="00077D25">
        <w:rPr>
          <w:rFonts w:ascii="Verdana" w:hAnsi="Verdana"/>
          <w:sz w:val="19"/>
          <w:szCs w:val="19"/>
        </w:rPr>
        <w:t>held</w:t>
      </w:r>
      <w:r w:rsidR="002C3BA8">
        <w:rPr>
          <w:rFonts w:ascii="Verdana" w:hAnsi="Verdana"/>
          <w:sz w:val="19"/>
          <w:szCs w:val="19"/>
        </w:rPr>
        <w:t xml:space="preserve"> that </w:t>
      </w:r>
      <w:r w:rsidR="00077D25">
        <w:rPr>
          <w:rFonts w:ascii="Verdana" w:hAnsi="Verdana"/>
          <w:sz w:val="19"/>
          <w:szCs w:val="19"/>
        </w:rPr>
        <w:t>inaccessibility of</w:t>
      </w:r>
      <w:r w:rsidR="0065284F">
        <w:rPr>
          <w:rFonts w:ascii="Verdana" w:hAnsi="Verdana"/>
          <w:sz w:val="19"/>
          <w:szCs w:val="19"/>
        </w:rPr>
        <w:t xml:space="preserve"> LGBT persons to</w:t>
      </w:r>
      <w:r w:rsidR="00077D25">
        <w:rPr>
          <w:rFonts w:ascii="Verdana" w:hAnsi="Verdana"/>
          <w:sz w:val="19"/>
          <w:szCs w:val="19"/>
        </w:rPr>
        <w:t xml:space="preserve"> public spaces, specifically</w:t>
      </w:r>
      <w:r w:rsidR="0065284F">
        <w:rPr>
          <w:rFonts w:ascii="Verdana" w:hAnsi="Verdana"/>
          <w:sz w:val="19"/>
          <w:szCs w:val="19"/>
        </w:rPr>
        <w:t xml:space="preserve"> to</w:t>
      </w:r>
      <w:r w:rsidR="00077D25">
        <w:rPr>
          <w:rFonts w:ascii="Verdana" w:hAnsi="Verdana"/>
          <w:sz w:val="19"/>
          <w:szCs w:val="19"/>
        </w:rPr>
        <w:t xml:space="preserve"> transport and</w:t>
      </w:r>
      <w:r w:rsidR="0065284F">
        <w:rPr>
          <w:rFonts w:ascii="Verdana" w:hAnsi="Verdana"/>
          <w:sz w:val="19"/>
          <w:szCs w:val="19"/>
        </w:rPr>
        <w:t xml:space="preserve"> to</w:t>
      </w:r>
      <w:r w:rsidR="00077D25">
        <w:rPr>
          <w:rFonts w:ascii="Verdana" w:hAnsi="Verdana"/>
          <w:sz w:val="19"/>
          <w:szCs w:val="19"/>
        </w:rPr>
        <w:t xml:space="preserve"> adequate sanitation facilities, violates fundamental rights guaranteed under the Indian Constitution.</w:t>
      </w:r>
      <w:r w:rsidR="00077D25">
        <w:rPr>
          <w:rStyle w:val="FootnoteReference"/>
          <w:rFonts w:ascii="Verdana" w:hAnsi="Verdana"/>
          <w:sz w:val="19"/>
          <w:szCs w:val="19"/>
        </w:rPr>
        <w:footnoteReference w:id="28"/>
      </w:r>
      <w:r w:rsidR="00077D25">
        <w:rPr>
          <w:rFonts w:ascii="Verdana" w:hAnsi="Verdana"/>
          <w:sz w:val="19"/>
          <w:szCs w:val="19"/>
        </w:rPr>
        <w:t xml:space="preserve"> </w:t>
      </w:r>
    </w:p>
    <w:p w14:paraId="401737CC" w14:textId="7F5DBBAF" w:rsidR="00EF0A1C" w:rsidRDefault="00EF0A1C" w:rsidP="00FB13F5">
      <w:pPr>
        <w:pStyle w:val="Heading1"/>
        <w:numPr>
          <w:ilvl w:val="0"/>
          <w:numId w:val="26"/>
        </w:numPr>
        <w:spacing w:line="240" w:lineRule="auto"/>
        <w:rPr>
          <w:rFonts w:ascii="Verdana" w:hAnsi="Verdana"/>
          <w:b/>
          <w:color w:val="auto"/>
          <w:sz w:val="19"/>
          <w:szCs w:val="19"/>
        </w:rPr>
      </w:pPr>
      <w:r w:rsidRPr="00C51ACB">
        <w:rPr>
          <w:rFonts w:ascii="Verdana" w:hAnsi="Verdana"/>
          <w:b/>
          <w:color w:val="auto"/>
          <w:sz w:val="19"/>
          <w:szCs w:val="19"/>
        </w:rPr>
        <w:lastRenderedPageBreak/>
        <w:t xml:space="preserve">Please describe your organization’s assessment of access to water and sanitation in public spaces in the country where you operate, providing both positive and negative examples, including costs for use, availability of the services, safety of users during access, quality of facilities and other human rights concerns. Please outline any research or assessment that have been done in this regard. </w:t>
      </w:r>
    </w:p>
    <w:p w14:paraId="07AC27A3" w14:textId="4CFCA4E1" w:rsidR="00B56C94" w:rsidRPr="000F2E2F" w:rsidRDefault="00475B8B" w:rsidP="000F2E2F">
      <w:pPr>
        <w:spacing w:line="240" w:lineRule="auto"/>
        <w:rPr>
          <w:rFonts w:ascii="Verdana" w:hAnsi="Verdana"/>
          <w:sz w:val="19"/>
          <w:szCs w:val="19"/>
        </w:rPr>
      </w:pPr>
      <w:r w:rsidRPr="000F2E2F">
        <w:rPr>
          <w:rFonts w:ascii="Verdana" w:hAnsi="Verdana"/>
          <w:sz w:val="19"/>
          <w:szCs w:val="19"/>
        </w:rPr>
        <w:t>This discusses the impediments</w:t>
      </w:r>
      <w:r w:rsidR="00B56C94" w:rsidRPr="000F2E2F">
        <w:rPr>
          <w:rFonts w:ascii="Verdana" w:hAnsi="Verdana"/>
          <w:sz w:val="19"/>
          <w:szCs w:val="19"/>
        </w:rPr>
        <w:t xml:space="preserve"> to </w:t>
      </w:r>
      <w:r w:rsidRPr="000F2E2F">
        <w:rPr>
          <w:rFonts w:ascii="Verdana" w:eastAsiaTheme="majorEastAsia" w:hAnsi="Verdana" w:cstheme="majorBidi"/>
          <w:sz w:val="19"/>
          <w:szCs w:val="19"/>
        </w:rPr>
        <w:t>LGBTQ persons</w:t>
      </w:r>
      <w:r w:rsidRPr="00475B8B">
        <w:rPr>
          <w:rFonts w:ascii="Verdana" w:hAnsi="Verdana"/>
          <w:sz w:val="19"/>
          <w:szCs w:val="19"/>
        </w:rPr>
        <w:t>’</w:t>
      </w:r>
      <w:r w:rsidRPr="000F2E2F">
        <w:rPr>
          <w:rFonts w:ascii="Verdana" w:eastAsiaTheme="majorEastAsia" w:hAnsi="Verdana" w:cstheme="majorBidi"/>
          <w:sz w:val="19"/>
          <w:szCs w:val="19"/>
        </w:rPr>
        <w:t xml:space="preserve"> access to water and sanitation in public spaces as revealed by </w:t>
      </w:r>
      <w:r w:rsidRPr="00475B8B">
        <w:rPr>
          <w:rFonts w:ascii="Verdana" w:hAnsi="Verdana"/>
          <w:sz w:val="19"/>
          <w:szCs w:val="19"/>
        </w:rPr>
        <w:t>the ICJ’s research, and then the policy initiatives undertaken by the state to enable non-binary persons access to toilets.</w:t>
      </w:r>
    </w:p>
    <w:p w14:paraId="77C031BD" w14:textId="088DE73C" w:rsidR="00064F2B" w:rsidRPr="00B56C94" w:rsidRDefault="00101B63" w:rsidP="005A0237">
      <w:pPr>
        <w:spacing w:line="240" w:lineRule="auto"/>
        <w:rPr>
          <w:rFonts w:ascii="Verdana" w:hAnsi="Verdana"/>
          <w:sz w:val="19"/>
          <w:szCs w:val="19"/>
        </w:rPr>
      </w:pPr>
      <w:r w:rsidRPr="000F2E2F">
        <w:rPr>
          <w:rFonts w:ascii="Verdana" w:eastAsiaTheme="majorEastAsia" w:hAnsi="Verdana" w:cstheme="majorBidi"/>
          <w:sz w:val="19"/>
          <w:szCs w:val="19"/>
        </w:rPr>
        <w:t>The following are examples of major impediment</w:t>
      </w:r>
      <w:r w:rsidR="00D97739" w:rsidRPr="00B56C94">
        <w:rPr>
          <w:rFonts w:ascii="Verdana" w:hAnsi="Verdana"/>
          <w:sz w:val="19"/>
          <w:szCs w:val="19"/>
        </w:rPr>
        <w:t>s</w:t>
      </w:r>
      <w:r w:rsidRPr="000F2E2F">
        <w:rPr>
          <w:rFonts w:ascii="Verdana" w:eastAsiaTheme="majorEastAsia" w:hAnsi="Verdana" w:cstheme="majorBidi"/>
          <w:sz w:val="19"/>
          <w:szCs w:val="19"/>
        </w:rPr>
        <w:t xml:space="preserve"> to LGBT</w:t>
      </w:r>
      <w:r w:rsidR="00B56C94">
        <w:rPr>
          <w:rFonts w:ascii="Verdana" w:eastAsiaTheme="majorEastAsia" w:hAnsi="Verdana" w:cstheme="majorBidi"/>
          <w:sz w:val="19"/>
          <w:szCs w:val="19"/>
        </w:rPr>
        <w:t>Q</w:t>
      </w:r>
      <w:r w:rsidRPr="000F2E2F">
        <w:rPr>
          <w:rFonts w:ascii="Verdana" w:eastAsiaTheme="majorEastAsia" w:hAnsi="Verdana" w:cstheme="majorBidi"/>
          <w:sz w:val="19"/>
          <w:szCs w:val="19"/>
        </w:rPr>
        <w:t xml:space="preserve"> persons</w:t>
      </w:r>
      <w:r w:rsidR="00D97739" w:rsidRPr="00B56C94">
        <w:rPr>
          <w:rFonts w:ascii="Verdana" w:hAnsi="Verdana"/>
          <w:sz w:val="19"/>
          <w:szCs w:val="19"/>
        </w:rPr>
        <w:t>’</w:t>
      </w:r>
      <w:r w:rsidRPr="000F2E2F">
        <w:rPr>
          <w:rFonts w:ascii="Verdana" w:eastAsiaTheme="majorEastAsia" w:hAnsi="Verdana" w:cstheme="majorBidi"/>
          <w:sz w:val="19"/>
          <w:szCs w:val="19"/>
        </w:rPr>
        <w:t xml:space="preserve"> access to water and sanitation in public spaces revealed by </w:t>
      </w:r>
      <w:r w:rsidRPr="00B56C94">
        <w:rPr>
          <w:rFonts w:ascii="Verdana" w:hAnsi="Verdana"/>
          <w:sz w:val="19"/>
          <w:szCs w:val="19"/>
        </w:rPr>
        <w:t>the ICJ’s research.</w:t>
      </w:r>
    </w:p>
    <w:p w14:paraId="0A4000E0" w14:textId="7F22071D" w:rsidR="00174E39" w:rsidRPr="00C51ACB" w:rsidRDefault="00174E39" w:rsidP="005A0237">
      <w:pPr>
        <w:spacing w:line="240" w:lineRule="auto"/>
        <w:rPr>
          <w:rFonts w:ascii="Verdana" w:hAnsi="Verdana"/>
          <w:i/>
          <w:sz w:val="19"/>
          <w:szCs w:val="19"/>
          <w:u w:val="single"/>
        </w:rPr>
      </w:pPr>
      <w:r w:rsidRPr="00C51ACB">
        <w:rPr>
          <w:rFonts w:ascii="Verdana" w:hAnsi="Verdana"/>
          <w:i/>
          <w:sz w:val="19"/>
          <w:szCs w:val="19"/>
          <w:u w:val="single"/>
        </w:rPr>
        <w:t>Infrastructural deficiencies</w:t>
      </w:r>
    </w:p>
    <w:p w14:paraId="5777D55A" w14:textId="1D875A12" w:rsidR="00387A27" w:rsidRPr="00C51ACB" w:rsidRDefault="00722500" w:rsidP="005A0237">
      <w:pPr>
        <w:spacing w:line="240" w:lineRule="auto"/>
        <w:rPr>
          <w:rFonts w:ascii="Verdana" w:hAnsi="Verdana"/>
          <w:sz w:val="19"/>
          <w:szCs w:val="19"/>
        </w:rPr>
      </w:pPr>
      <w:r w:rsidRPr="00C51ACB">
        <w:rPr>
          <w:rFonts w:ascii="Verdana" w:hAnsi="Verdana"/>
          <w:sz w:val="19"/>
          <w:szCs w:val="19"/>
        </w:rPr>
        <w:t>Transgender persons may be unable to access gendered toilets which are not designed to suit their needs. For instance, transmen who have not undergone phalloplasty are unable to access men’s toilets that lack private stalls. Transgender persons may also be unwilling to use toilets specifically marked for transgender persons, for fear of revealing their gender identity and exposing themselves to stigma</w:t>
      </w:r>
      <w:r w:rsidR="00E07996">
        <w:rPr>
          <w:rFonts w:ascii="Verdana" w:hAnsi="Verdana"/>
          <w:sz w:val="19"/>
          <w:szCs w:val="19"/>
        </w:rPr>
        <w:t xml:space="preserve">, </w:t>
      </w:r>
      <w:r w:rsidRPr="00C51ACB">
        <w:rPr>
          <w:rFonts w:ascii="Verdana" w:hAnsi="Verdana"/>
          <w:sz w:val="19"/>
          <w:szCs w:val="19"/>
        </w:rPr>
        <w:t>harassment</w:t>
      </w:r>
      <w:r w:rsidR="00E07996">
        <w:rPr>
          <w:rFonts w:ascii="Verdana" w:hAnsi="Verdana"/>
          <w:sz w:val="19"/>
          <w:szCs w:val="19"/>
        </w:rPr>
        <w:t>, discrimination, violence and other abuse</w:t>
      </w:r>
      <w:r w:rsidRPr="00C51ACB">
        <w:rPr>
          <w:rFonts w:ascii="Verdana" w:hAnsi="Verdana"/>
          <w:sz w:val="19"/>
          <w:szCs w:val="19"/>
        </w:rPr>
        <w:t xml:space="preserve">. </w:t>
      </w:r>
      <w:r w:rsidR="00E07996">
        <w:rPr>
          <w:rFonts w:ascii="Verdana" w:hAnsi="Verdana"/>
          <w:sz w:val="19"/>
          <w:szCs w:val="19"/>
        </w:rPr>
        <w:t xml:space="preserve">Their inability to access such facilities </w:t>
      </w:r>
      <w:r w:rsidR="00101B63" w:rsidRPr="00C51ACB">
        <w:rPr>
          <w:rFonts w:ascii="Verdana" w:hAnsi="Verdana"/>
          <w:sz w:val="19"/>
          <w:szCs w:val="19"/>
        </w:rPr>
        <w:t>impacts on their freedom of movement, including their mobility in accessing employment opportunities.</w:t>
      </w:r>
    </w:p>
    <w:p w14:paraId="1F04283F" w14:textId="5E5E7328" w:rsidR="00780F60" w:rsidRPr="00C51ACB" w:rsidRDefault="00780F60" w:rsidP="005A0237">
      <w:pPr>
        <w:pStyle w:val="ListParagraph"/>
        <w:numPr>
          <w:ilvl w:val="0"/>
          <w:numId w:val="28"/>
        </w:numPr>
        <w:spacing w:line="240" w:lineRule="auto"/>
        <w:rPr>
          <w:rFonts w:ascii="Verdana" w:hAnsi="Verdana"/>
          <w:sz w:val="19"/>
          <w:szCs w:val="19"/>
        </w:rPr>
      </w:pPr>
      <w:r w:rsidRPr="00C51ACB">
        <w:rPr>
          <w:rFonts w:ascii="Verdana" w:hAnsi="Verdana"/>
          <w:b/>
          <w:sz w:val="19"/>
          <w:szCs w:val="19"/>
        </w:rPr>
        <w:t>C, a transman</w:t>
      </w:r>
      <w:r w:rsidR="00101B63" w:rsidRPr="00C51ACB">
        <w:rPr>
          <w:rFonts w:ascii="Verdana" w:hAnsi="Verdana"/>
          <w:sz w:val="19"/>
          <w:szCs w:val="19"/>
        </w:rPr>
        <w:t>,</w:t>
      </w:r>
      <w:r w:rsidRPr="00C51ACB">
        <w:rPr>
          <w:rFonts w:ascii="Verdana" w:hAnsi="Verdana"/>
          <w:sz w:val="19"/>
          <w:szCs w:val="19"/>
        </w:rPr>
        <w:t xml:space="preserve"> </w:t>
      </w:r>
      <w:r w:rsidR="00064F2B" w:rsidRPr="00C51ACB">
        <w:rPr>
          <w:rFonts w:ascii="Verdana" w:hAnsi="Verdana"/>
          <w:sz w:val="19"/>
          <w:szCs w:val="19"/>
        </w:rPr>
        <w:t>told the ICJ</w:t>
      </w:r>
      <w:r w:rsidRPr="00C51ACB">
        <w:rPr>
          <w:rFonts w:ascii="Verdana" w:hAnsi="Verdana"/>
          <w:sz w:val="19"/>
          <w:szCs w:val="19"/>
        </w:rPr>
        <w:t xml:space="preserve"> that he avoids going on long bus journeys, as most halts either do not have adequate private stalls in men’s washrooms, or men are expected to stand and urinate in the open – something that he is unable to do. He said</w:t>
      </w:r>
      <w:r w:rsidR="00387A27" w:rsidRPr="00C51ACB">
        <w:rPr>
          <w:rFonts w:ascii="Verdana" w:hAnsi="Verdana"/>
          <w:sz w:val="19"/>
          <w:szCs w:val="19"/>
        </w:rPr>
        <w:t xml:space="preserve"> that s</w:t>
      </w:r>
      <w:r w:rsidRPr="00C51ACB">
        <w:rPr>
          <w:rFonts w:ascii="Verdana" w:hAnsi="Verdana"/>
          <w:sz w:val="19"/>
          <w:szCs w:val="19"/>
        </w:rPr>
        <w:t xml:space="preserve">ometimes when </w:t>
      </w:r>
      <w:r w:rsidR="00387A27" w:rsidRPr="00C51ACB">
        <w:rPr>
          <w:rFonts w:ascii="Verdana" w:hAnsi="Verdana"/>
          <w:sz w:val="19"/>
          <w:szCs w:val="19"/>
        </w:rPr>
        <w:t>he is</w:t>
      </w:r>
      <w:r w:rsidRPr="00C51ACB">
        <w:rPr>
          <w:rFonts w:ascii="Verdana" w:hAnsi="Verdana"/>
          <w:sz w:val="19"/>
          <w:szCs w:val="19"/>
        </w:rPr>
        <w:t xml:space="preserve"> in the bus and </w:t>
      </w:r>
      <w:r w:rsidR="00387A27" w:rsidRPr="00C51ACB">
        <w:rPr>
          <w:rFonts w:ascii="Verdana" w:hAnsi="Verdana"/>
          <w:sz w:val="19"/>
          <w:szCs w:val="19"/>
        </w:rPr>
        <w:t>has</w:t>
      </w:r>
      <w:r w:rsidRPr="00C51ACB">
        <w:rPr>
          <w:rFonts w:ascii="Verdana" w:hAnsi="Verdana"/>
          <w:sz w:val="19"/>
          <w:szCs w:val="19"/>
        </w:rPr>
        <w:t xml:space="preserve"> to use the washroom, then</w:t>
      </w:r>
      <w:r w:rsidR="00064F2B" w:rsidRPr="00C51ACB">
        <w:rPr>
          <w:rFonts w:ascii="Verdana" w:hAnsi="Verdana"/>
          <w:sz w:val="19"/>
          <w:szCs w:val="19"/>
        </w:rPr>
        <w:t xml:space="preserve"> he</w:t>
      </w:r>
      <w:r w:rsidR="00387A27" w:rsidRPr="00C51ACB">
        <w:rPr>
          <w:rFonts w:ascii="Verdana" w:hAnsi="Verdana"/>
          <w:sz w:val="19"/>
          <w:szCs w:val="19"/>
        </w:rPr>
        <w:t xml:space="preserve"> instead just </w:t>
      </w:r>
      <w:r w:rsidR="00064F2B" w:rsidRPr="00C51ACB">
        <w:rPr>
          <w:rFonts w:ascii="Verdana" w:hAnsi="Verdana"/>
          <w:sz w:val="19"/>
          <w:szCs w:val="19"/>
        </w:rPr>
        <w:t xml:space="preserve">urinates </w:t>
      </w:r>
      <w:r w:rsidR="00387A27" w:rsidRPr="00C51ACB">
        <w:rPr>
          <w:rFonts w:ascii="Verdana" w:hAnsi="Verdana"/>
          <w:sz w:val="19"/>
          <w:szCs w:val="19"/>
        </w:rPr>
        <w:t>on the seat. He sees no other option for himself, and thinks that he may have to start using adult diapers.</w:t>
      </w:r>
    </w:p>
    <w:p w14:paraId="60BCBF47" w14:textId="12D457BE" w:rsidR="00780F60" w:rsidRPr="00C51ACB" w:rsidRDefault="00780F60" w:rsidP="005A0237">
      <w:pPr>
        <w:pStyle w:val="ListParagraph"/>
        <w:numPr>
          <w:ilvl w:val="0"/>
          <w:numId w:val="28"/>
        </w:numPr>
        <w:spacing w:line="240" w:lineRule="auto"/>
        <w:rPr>
          <w:rFonts w:ascii="Verdana" w:hAnsi="Verdana"/>
          <w:sz w:val="19"/>
          <w:szCs w:val="19"/>
        </w:rPr>
      </w:pPr>
      <w:r w:rsidRPr="00C51ACB">
        <w:rPr>
          <w:rFonts w:ascii="Verdana" w:hAnsi="Verdana"/>
          <w:b/>
          <w:sz w:val="19"/>
          <w:szCs w:val="19"/>
        </w:rPr>
        <w:t>S, a transman</w:t>
      </w:r>
      <w:r w:rsidRPr="00C51ACB">
        <w:rPr>
          <w:rFonts w:ascii="Verdana" w:hAnsi="Verdana"/>
          <w:sz w:val="19"/>
          <w:szCs w:val="19"/>
        </w:rPr>
        <w:t xml:space="preserve">, </w:t>
      </w:r>
      <w:r w:rsidR="00064F2B" w:rsidRPr="00C51ACB">
        <w:rPr>
          <w:rFonts w:ascii="Verdana" w:hAnsi="Verdana"/>
          <w:sz w:val="19"/>
          <w:szCs w:val="19"/>
        </w:rPr>
        <w:t>told the ICJ</w:t>
      </w:r>
      <w:r w:rsidRPr="00C51ACB">
        <w:rPr>
          <w:rFonts w:ascii="Verdana" w:hAnsi="Verdana"/>
          <w:sz w:val="19"/>
          <w:szCs w:val="19"/>
        </w:rPr>
        <w:t xml:space="preserve"> that he looks for a unisex toilet whenever he has to use a public toilet, so that he is not suspected of being transgender</w:t>
      </w:r>
      <w:r w:rsidR="00064F2B" w:rsidRPr="00C51ACB">
        <w:rPr>
          <w:rFonts w:ascii="Verdana" w:hAnsi="Verdana"/>
          <w:sz w:val="19"/>
          <w:szCs w:val="19"/>
        </w:rPr>
        <w:t xml:space="preserve"> person.</w:t>
      </w:r>
    </w:p>
    <w:p w14:paraId="7BBAAFF7" w14:textId="7C5019CF" w:rsidR="00387A27" w:rsidRPr="00C51ACB" w:rsidRDefault="00387A27" w:rsidP="005A0237">
      <w:pPr>
        <w:spacing w:line="240" w:lineRule="auto"/>
        <w:rPr>
          <w:rFonts w:ascii="Verdana" w:hAnsi="Verdana"/>
          <w:sz w:val="19"/>
          <w:szCs w:val="19"/>
        </w:rPr>
      </w:pPr>
      <w:r w:rsidRPr="00C51ACB">
        <w:rPr>
          <w:rFonts w:ascii="Verdana" w:hAnsi="Verdana"/>
          <w:sz w:val="19"/>
          <w:szCs w:val="19"/>
        </w:rPr>
        <w:t xml:space="preserve">Transgender persons </w:t>
      </w:r>
      <w:r w:rsidR="00101B63" w:rsidRPr="00C51ACB">
        <w:rPr>
          <w:rFonts w:ascii="Verdana" w:hAnsi="Verdana"/>
          <w:sz w:val="19"/>
          <w:szCs w:val="19"/>
        </w:rPr>
        <w:t xml:space="preserve">also </w:t>
      </w:r>
      <w:r w:rsidRPr="00C51ACB">
        <w:rPr>
          <w:rFonts w:ascii="Verdana" w:hAnsi="Verdana"/>
          <w:sz w:val="19"/>
          <w:szCs w:val="19"/>
        </w:rPr>
        <w:t xml:space="preserve">face difficulties in accessing gendered toilets in </w:t>
      </w:r>
      <w:r w:rsidR="00101B63" w:rsidRPr="00C51ACB">
        <w:rPr>
          <w:rFonts w:ascii="Verdana" w:hAnsi="Verdana"/>
          <w:sz w:val="19"/>
          <w:szCs w:val="19"/>
        </w:rPr>
        <w:t xml:space="preserve">public </w:t>
      </w:r>
      <w:r w:rsidRPr="00C51ACB">
        <w:rPr>
          <w:rFonts w:ascii="Verdana" w:hAnsi="Verdana"/>
          <w:sz w:val="19"/>
          <w:szCs w:val="19"/>
        </w:rPr>
        <w:t>spaces, such as schools and universities</w:t>
      </w:r>
      <w:r w:rsidR="00E07996">
        <w:rPr>
          <w:rFonts w:ascii="Verdana" w:hAnsi="Verdana"/>
          <w:sz w:val="19"/>
          <w:szCs w:val="19"/>
        </w:rPr>
        <w:t xml:space="preserve">, which, in turn, detrimentally </w:t>
      </w:r>
      <w:r w:rsidR="00101B63" w:rsidRPr="00C51ACB">
        <w:rPr>
          <w:rFonts w:ascii="Verdana" w:hAnsi="Verdana"/>
          <w:sz w:val="19"/>
          <w:szCs w:val="19"/>
        </w:rPr>
        <w:t>impact</w:t>
      </w:r>
      <w:r w:rsidR="00E07996">
        <w:rPr>
          <w:rFonts w:ascii="Verdana" w:hAnsi="Verdana"/>
          <w:sz w:val="19"/>
          <w:szCs w:val="19"/>
        </w:rPr>
        <w:t xml:space="preserve">s </w:t>
      </w:r>
      <w:r w:rsidR="00101B63" w:rsidRPr="00C51ACB">
        <w:rPr>
          <w:rFonts w:ascii="Verdana" w:hAnsi="Verdana"/>
          <w:sz w:val="19"/>
          <w:szCs w:val="19"/>
        </w:rPr>
        <w:t>on their right to education</w:t>
      </w:r>
      <w:r w:rsidR="00064F2B" w:rsidRPr="00C51ACB">
        <w:rPr>
          <w:rFonts w:ascii="Verdana" w:hAnsi="Verdana"/>
          <w:sz w:val="19"/>
          <w:szCs w:val="19"/>
        </w:rPr>
        <w:t xml:space="preserve">. </w:t>
      </w:r>
      <w:r w:rsidRPr="00C51ACB">
        <w:rPr>
          <w:rFonts w:ascii="Verdana" w:hAnsi="Verdana"/>
          <w:sz w:val="19"/>
          <w:szCs w:val="19"/>
        </w:rPr>
        <w:t>Two such examples are stated below:</w:t>
      </w:r>
    </w:p>
    <w:p w14:paraId="546E3929" w14:textId="5FEA0D8E" w:rsidR="00174E39" w:rsidRPr="00C51ACB" w:rsidRDefault="00174E39" w:rsidP="005A0237">
      <w:pPr>
        <w:pStyle w:val="ListParagraph"/>
        <w:numPr>
          <w:ilvl w:val="0"/>
          <w:numId w:val="29"/>
        </w:numPr>
        <w:spacing w:line="240" w:lineRule="auto"/>
        <w:rPr>
          <w:rFonts w:ascii="Verdana" w:hAnsi="Verdana"/>
          <w:sz w:val="19"/>
          <w:szCs w:val="19"/>
        </w:rPr>
      </w:pPr>
      <w:r w:rsidRPr="00C51ACB">
        <w:rPr>
          <w:rFonts w:ascii="Verdana" w:hAnsi="Verdana"/>
          <w:b/>
          <w:sz w:val="19"/>
          <w:szCs w:val="19"/>
        </w:rPr>
        <w:t>J, a transman</w:t>
      </w:r>
      <w:r w:rsidRPr="00C51ACB">
        <w:rPr>
          <w:rFonts w:ascii="Verdana" w:hAnsi="Verdana"/>
          <w:sz w:val="19"/>
          <w:szCs w:val="19"/>
        </w:rPr>
        <w:t xml:space="preserve">, said that he was unable to use toilets in school as the boys’ toilets only had urinals, and did not have any private stalls. He was unable to use the boy’s toilet since he had not undergone phalloplasty. He avoided using the girl’s toilet as well, since he did not want to be identified as a transgender person. J continued to face difficulties in accessing toilets while pursuing higher education. When he eventually began working, security guards would prevent him from using the women’s toilet at the workplace. </w:t>
      </w:r>
    </w:p>
    <w:p w14:paraId="76FB0717" w14:textId="6CBEC08D" w:rsidR="00174E39" w:rsidRPr="00C51ACB" w:rsidRDefault="00174E39" w:rsidP="005A0237">
      <w:pPr>
        <w:pStyle w:val="ListParagraph"/>
        <w:numPr>
          <w:ilvl w:val="0"/>
          <w:numId w:val="29"/>
        </w:numPr>
        <w:spacing w:line="240" w:lineRule="auto"/>
        <w:rPr>
          <w:rFonts w:ascii="Verdana" w:hAnsi="Verdana"/>
          <w:sz w:val="19"/>
          <w:szCs w:val="19"/>
        </w:rPr>
      </w:pPr>
      <w:r w:rsidRPr="00C51ACB">
        <w:rPr>
          <w:rFonts w:ascii="Verdana" w:hAnsi="Verdana"/>
          <w:b/>
          <w:sz w:val="19"/>
          <w:szCs w:val="19"/>
        </w:rPr>
        <w:t>T, a transwoman</w:t>
      </w:r>
      <w:r w:rsidRPr="00C51ACB">
        <w:rPr>
          <w:rFonts w:ascii="Verdana" w:hAnsi="Verdana"/>
          <w:sz w:val="19"/>
          <w:szCs w:val="19"/>
        </w:rPr>
        <w:t>, said that she was deprived of a healthy learning environment as the University where she was studying did not have any gender-neutral toilets. When a few transgender students raised this issue, the authorities marked one of the toilets on the University campus for use by transgender persons only.</w:t>
      </w:r>
    </w:p>
    <w:p w14:paraId="174C043B" w14:textId="6B926494" w:rsidR="00174E39" w:rsidRPr="00C51ACB" w:rsidRDefault="00174E39" w:rsidP="005A0237">
      <w:pPr>
        <w:spacing w:line="240" w:lineRule="auto"/>
        <w:rPr>
          <w:rFonts w:ascii="Verdana" w:hAnsi="Verdana"/>
          <w:i/>
          <w:sz w:val="19"/>
          <w:szCs w:val="19"/>
          <w:u w:val="single"/>
        </w:rPr>
      </w:pPr>
      <w:r w:rsidRPr="00C51ACB">
        <w:rPr>
          <w:rFonts w:ascii="Verdana" w:hAnsi="Verdana"/>
          <w:i/>
          <w:sz w:val="19"/>
          <w:szCs w:val="19"/>
          <w:u w:val="single"/>
        </w:rPr>
        <w:t>Verbal</w:t>
      </w:r>
      <w:r w:rsidR="00722500" w:rsidRPr="00C51ACB">
        <w:rPr>
          <w:rFonts w:ascii="Verdana" w:hAnsi="Verdana"/>
          <w:i/>
          <w:sz w:val="19"/>
          <w:szCs w:val="19"/>
          <w:u w:val="single"/>
        </w:rPr>
        <w:t>, physical, and sexual</w:t>
      </w:r>
      <w:r w:rsidRPr="00C51ACB">
        <w:rPr>
          <w:rFonts w:ascii="Verdana" w:hAnsi="Verdana"/>
          <w:i/>
          <w:sz w:val="19"/>
          <w:szCs w:val="19"/>
          <w:u w:val="single"/>
        </w:rPr>
        <w:t xml:space="preserve"> </w:t>
      </w:r>
      <w:r w:rsidR="00722500" w:rsidRPr="00C51ACB">
        <w:rPr>
          <w:rFonts w:ascii="Verdana" w:hAnsi="Verdana"/>
          <w:i/>
          <w:sz w:val="19"/>
          <w:szCs w:val="19"/>
          <w:u w:val="single"/>
        </w:rPr>
        <w:t>h</w:t>
      </w:r>
      <w:r w:rsidRPr="00C51ACB">
        <w:rPr>
          <w:rFonts w:ascii="Verdana" w:hAnsi="Verdana"/>
          <w:i/>
          <w:sz w:val="19"/>
          <w:szCs w:val="19"/>
          <w:u w:val="single"/>
        </w:rPr>
        <w:t>arassment</w:t>
      </w:r>
      <w:r w:rsidR="00722500" w:rsidRPr="00C51ACB">
        <w:rPr>
          <w:rFonts w:ascii="Verdana" w:hAnsi="Verdana"/>
          <w:i/>
          <w:sz w:val="19"/>
          <w:szCs w:val="19"/>
          <w:u w:val="single"/>
        </w:rPr>
        <w:t xml:space="preserve"> and violence</w:t>
      </w:r>
    </w:p>
    <w:p w14:paraId="4C53A44B" w14:textId="68AC2217" w:rsidR="00722500" w:rsidRPr="00C51ACB" w:rsidRDefault="00722500" w:rsidP="005A0237">
      <w:pPr>
        <w:spacing w:line="240" w:lineRule="auto"/>
        <w:rPr>
          <w:rFonts w:ascii="Verdana" w:hAnsi="Verdana"/>
          <w:sz w:val="19"/>
          <w:szCs w:val="19"/>
        </w:rPr>
      </w:pPr>
      <w:r w:rsidRPr="00C51ACB">
        <w:rPr>
          <w:rFonts w:ascii="Verdana" w:hAnsi="Verdana"/>
          <w:sz w:val="19"/>
          <w:szCs w:val="19"/>
        </w:rPr>
        <w:t xml:space="preserve">Toilets </w:t>
      </w:r>
      <w:r w:rsidR="00644E0B" w:rsidRPr="00C51ACB">
        <w:rPr>
          <w:rFonts w:ascii="Verdana" w:hAnsi="Verdana"/>
          <w:sz w:val="19"/>
          <w:szCs w:val="19"/>
        </w:rPr>
        <w:t xml:space="preserve">were highlighted as sites of sexual violence by some of the interviewees. </w:t>
      </w:r>
      <w:r w:rsidR="00101B63" w:rsidRPr="00C51ACB">
        <w:rPr>
          <w:rFonts w:ascii="Verdana" w:hAnsi="Verdana"/>
          <w:sz w:val="19"/>
          <w:szCs w:val="19"/>
        </w:rPr>
        <w:t>Some transgender persons</w:t>
      </w:r>
      <w:r w:rsidR="00644E0B" w:rsidRPr="00C51ACB">
        <w:rPr>
          <w:rFonts w:ascii="Verdana" w:hAnsi="Verdana"/>
          <w:sz w:val="19"/>
          <w:szCs w:val="19"/>
        </w:rPr>
        <w:t xml:space="preserve"> also pointed out that their presence in women’s toilets leads to suspicion of breach of privacy, and often results in verbal and physical violence and harassment against them. </w:t>
      </w:r>
      <w:r w:rsidR="00E07996">
        <w:rPr>
          <w:rFonts w:ascii="Verdana" w:hAnsi="Verdana"/>
          <w:sz w:val="19"/>
          <w:szCs w:val="19"/>
        </w:rPr>
        <w:t>As a result, t</w:t>
      </w:r>
      <w:r w:rsidR="00101B63" w:rsidRPr="00C51ACB">
        <w:rPr>
          <w:rFonts w:ascii="Verdana" w:hAnsi="Verdana"/>
          <w:sz w:val="19"/>
          <w:szCs w:val="19"/>
        </w:rPr>
        <w:t xml:space="preserve">hese violations of their rights to water and sanitation also </w:t>
      </w:r>
      <w:r w:rsidR="00E07996">
        <w:rPr>
          <w:rFonts w:ascii="Verdana" w:hAnsi="Verdana"/>
          <w:sz w:val="19"/>
          <w:szCs w:val="19"/>
        </w:rPr>
        <w:t xml:space="preserve">have a detrimental impact on </w:t>
      </w:r>
      <w:r w:rsidR="00101B63" w:rsidRPr="00C51ACB">
        <w:rPr>
          <w:rFonts w:ascii="Verdana" w:hAnsi="Verdana"/>
          <w:sz w:val="19"/>
          <w:szCs w:val="19"/>
        </w:rPr>
        <w:t xml:space="preserve">their freedom and security of person and may also </w:t>
      </w:r>
      <w:r w:rsidR="00E07996">
        <w:rPr>
          <w:rFonts w:ascii="Verdana" w:hAnsi="Verdana"/>
          <w:sz w:val="19"/>
          <w:szCs w:val="19"/>
        </w:rPr>
        <w:t xml:space="preserve">negatively </w:t>
      </w:r>
      <w:r w:rsidR="00101B63" w:rsidRPr="00C51ACB">
        <w:rPr>
          <w:rFonts w:ascii="Verdana" w:hAnsi="Verdana"/>
          <w:sz w:val="19"/>
          <w:szCs w:val="19"/>
        </w:rPr>
        <w:t>impact on their ability to participate in cultural and religious practices.</w:t>
      </w:r>
    </w:p>
    <w:p w14:paraId="62EA6245" w14:textId="6CEDC134" w:rsidR="00936590" w:rsidRPr="00C51ACB" w:rsidRDefault="00D23ED3" w:rsidP="005A0237">
      <w:pPr>
        <w:pStyle w:val="ListParagraph"/>
        <w:numPr>
          <w:ilvl w:val="0"/>
          <w:numId w:val="30"/>
        </w:numPr>
        <w:spacing w:line="240" w:lineRule="auto"/>
        <w:rPr>
          <w:rFonts w:ascii="Verdana" w:hAnsi="Verdana"/>
          <w:sz w:val="19"/>
          <w:szCs w:val="19"/>
        </w:rPr>
      </w:pPr>
      <w:r w:rsidRPr="00C51ACB">
        <w:rPr>
          <w:rFonts w:ascii="Verdana" w:hAnsi="Verdana"/>
          <w:b/>
          <w:sz w:val="19"/>
          <w:szCs w:val="19"/>
        </w:rPr>
        <w:lastRenderedPageBreak/>
        <w:t>J, a transman</w:t>
      </w:r>
      <w:r w:rsidRPr="00C51ACB">
        <w:rPr>
          <w:rFonts w:ascii="Verdana" w:hAnsi="Verdana"/>
          <w:sz w:val="19"/>
          <w:szCs w:val="19"/>
        </w:rPr>
        <w:t xml:space="preserve">, shared that he and another transman friend of his were subject to harassment and assault </w:t>
      </w:r>
      <w:r w:rsidR="00936590" w:rsidRPr="00C51ACB">
        <w:rPr>
          <w:rFonts w:ascii="Verdana" w:hAnsi="Verdana"/>
          <w:sz w:val="19"/>
          <w:szCs w:val="19"/>
        </w:rPr>
        <w:t>for using the women’s bathroom to change clothes. They had gone to a place of worship on a river</w:t>
      </w:r>
      <w:r w:rsidR="00064F2B" w:rsidRPr="00C51ACB">
        <w:rPr>
          <w:rFonts w:ascii="Verdana" w:hAnsi="Verdana"/>
          <w:sz w:val="19"/>
          <w:szCs w:val="19"/>
        </w:rPr>
        <w:t>-</w:t>
      </w:r>
      <w:r w:rsidR="00936590" w:rsidRPr="00C51ACB">
        <w:rPr>
          <w:rFonts w:ascii="Verdana" w:hAnsi="Verdana"/>
          <w:sz w:val="19"/>
          <w:szCs w:val="19"/>
        </w:rPr>
        <w:t xml:space="preserve">bank. When they went to change clothes in the women’s bathroom, </w:t>
      </w:r>
      <w:r w:rsidRPr="00C51ACB">
        <w:rPr>
          <w:rFonts w:ascii="Verdana" w:hAnsi="Verdana"/>
          <w:sz w:val="19"/>
          <w:szCs w:val="19"/>
        </w:rPr>
        <w:t xml:space="preserve">a security guard shouted at him for </w:t>
      </w:r>
      <w:r w:rsidR="00936590" w:rsidRPr="00C51ACB">
        <w:rPr>
          <w:rFonts w:ascii="Verdana" w:hAnsi="Verdana"/>
          <w:sz w:val="19"/>
          <w:szCs w:val="19"/>
        </w:rPr>
        <w:t xml:space="preserve">entering the washroom, and assaulted them with a stick. </w:t>
      </w:r>
    </w:p>
    <w:p w14:paraId="45C6E0B5" w14:textId="192019B8" w:rsidR="00D23ED3" w:rsidRPr="00C51ACB" w:rsidRDefault="00936590" w:rsidP="005A0237">
      <w:pPr>
        <w:pStyle w:val="ListParagraph"/>
        <w:numPr>
          <w:ilvl w:val="0"/>
          <w:numId w:val="30"/>
        </w:numPr>
        <w:spacing w:line="240" w:lineRule="auto"/>
        <w:rPr>
          <w:rFonts w:ascii="Verdana" w:hAnsi="Verdana"/>
          <w:sz w:val="19"/>
          <w:szCs w:val="19"/>
        </w:rPr>
      </w:pPr>
      <w:r w:rsidRPr="00C51ACB">
        <w:rPr>
          <w:rFonts w:ascii="Verdana" w:hAnsi="Verdana"/>
          <w:b/>
          <w:sz w:val="19"/>
          <w:szCs w:val="19"/>
        </w:rPr>
        <w:t>S, a transman</w:t>
      </w:r>
      <w:r w:rsidR="00722500" w:rsidRPr="00C51ACB">
        <w:rPr>
          <w:rFonts w:ascii="Verdana" w:hAnsi="Verdana"/>
          <w:sz w:val="19"/>
          <w:szCs w:val="19"/>
        </w:rPr>
        <w:t>,</w:t>
      </w:r>
      <w:r w:rsidR="00D23ED3" w:rsidRPr="00C51ACB">
        <w:rPr>
          <w:rFonts w:ascii="Verdana" w:hAnsi="Verdana"/>
          <w:sz w:val="19"/>
          <w:szCs w:val="19"/>
        </w:rPr>
        <w:t xml:space="preserve"> had gone to </w:t>
      </w:r>
      <w:r w:rsidRPr="00C51ACB">
        <w:rPr>
          <w:rFonts w:ascii="Verdana" w:hAnsi="Verdana"/>
          <w:sz w:val="19"/>
          <w:szCs w:val="19"/>
        </w:rPr>
        <w:t>a place of worship,</w:t>
      </w:r>
      <w:r w:rsidR="00D23ED3" w:rsidRPr="00C51ACB">
        <w:rPr>
          <w:rFonts w:ascii="Verdana" w:hAnsi="Verdana"/>
          <w:sz w:val="19"/>
          <w:szCs w:val="19"/>
        </w:rPr>
        <w:t xml:space="preserve"> and wanted to use the toilet. </w:t>
      </w:r>
      <w:r w:rsidRPr="00C51ACB">
        <w:rPr>
          <w:rFonts w:ascii="Verdana" w:hAnsi="Verdana"/>
          <w:sz w:val="19"/>
          <w:szCs w:val="19"/>
        </w:rPr>
        <w:t>At the time, h</w:t>
      </w:r>
      <w:r w:rsidR="00D23ED3" w:rsidRPr="00C51ACB">
        <w:rPr>
          <w:rFonts w:ascii="Verdana" w:hAnsi="Verdana"/>
          <w:sz w:val="19"/>
          <w:szCs w:val="19"/>
        </w:rPr>
        <w:t>e hadn’t undergone breast removal surgery, but was undergoing hormone therapy. As soon as he entered the women’s toilet, everyone present there started questioning him, shouting at him, and asking him to leave. His sister had to negotiate with them,</w:t>
      </w:r>
      <w:r w:rsidR="00722500" w:rsidRPr="00C51ACB">
        <w:rPr>
          <w:rFonts w:ascii="Verdana" w:hAnsi="Verdana"/>
          <w:sz w:val="19"/>
          <w:szCs w:val="19"/>
        </w:rPr>
        <w:t xml:space="preserve"> and</w:t>
      </w:r>
      <w:r w:rsidR="00D23ED3" w:rsidRPr="00C51ACB">
        <w:rPr>
          <w:rFonts w:ascii="Verdana" w:hAnsi="Verdana"/>
          <w:sz w:val="19"/>
          <w:szCs w:val="19"/>
        </w:rPr>
        <w:t xml:space="preserve"> assert that he was a woman in order to diffuse the </w:t>
      </w:r>
      <w:r w:rsidR="00722500" w:rsidRPr="00C51ACB">
        <w:rPr>
          <w:rFonts w:ascii="Verdana" w:hAnsi="Verdana"/>
          <w:sz w:val="19"/>
          <w:szCs w:val="19"/>
        </w:rPr>
        <w:t xml:space="preserve">tense </w:t>
      </w:r>
      <w:r w:rsidR="00D23ED3" w:rsidRPr="00C51ACB">
        <w:rPr>
          <w:rFonts w:ascii="Verdana" w:hAnsi="Verdana"/>
          <w:sz w:val="19"/>
          <w:szCs w:val="19"/>
        </w:rPr>
        <w:t>situation.</w:t>
      </w:r>
    </w:p>
    <w:p w14:paraId="57150142" w14:textId="7819DBF4" w:rsidR="00D23ED3" w:rsidRPr="00C51ACB" w:rsidRDefault="00823F54" w:rsidP="005A0237">
      <w:pPr>
        <w:pStyle w:val="ListParagraph"/>
        <w:numPr>
          <w:ilvl w:val="0"/>
          <w:numId w:val="30"/>
        </w:numPr>
        <w:spacing w:line="240" w:lineRule="auto"/>
        <w:rPr>
          <w:rFonts w:ascii="Verdana" w:hAnsi="Verdana"/>
          <w:sz w:val="19"/>
          <w:szCs w:val="19"/>
        </w:rPr>
      </w:pPr>
      <w:r w:rsidRPr="00C51ACB">
        <w:rPr>
          <w:rFonts w:ascii="Verdana" w:hAnsi="Verdana"/>
          <w:b/>
          <w:sz w:val="19"/>
          <w:szCs w:val="19"/>
        </w:rPr>
        <w:t>U, a transwoman</w:t>
      </w:r>
      <w:r w:rsidRPr="00C51ACB">
        <w:rPr>
          <w:rFonts w:ascii="Verdana" w:hAnsi="Verdana"/>
          <w:sz w:val="19"/>
          <w:szCs w:val="19"/>
        </w:rPr>
        <w:t>, said that she avoided using the toilet at her place of work, because she had experienced sexual assault inside a toilet in her previous workplace. To avoid going to the washroom, she did not drink water, and would hold her urine for long hours. This resulted in stomach pain, and consequently</w:t>
      </w:r>
      <w:r w:rsidR="00064F2B" w:rsidRPr="00C51ACB">
        <w:rPr>
          <w:rFonts w:ascii="Verdana" w:hAnsi="Verdana"/>
          <w:sz w:val="19"/>
          <w:szCs w:val="19"/>
        </w:rPr>
        <w:t>,</w:t>
      </w:r>
      <w:r w:rsidRPr="00C51ACB">
        <w:rPr>
          <w:rFonts w:ascii="Verdana" w:hAnsi="Verdana"/>
          <w:sz w:val="19"/>
          <w:szCs w:val="19"/>
        </w:rPr>
        <w:t xml:space="preserve"> poor performance at work. </w:t>
      </w:r>
      <w:bookmarkStart w:id="1" w:name="_Hlk535409992"/>
    </w:p>
    <w:p w14:paraId="2A9D26B6" w14:textId="2EA4CC2F" w:rsidR="00886F3E" w:rsidRPr="000F2E2F" w:rsidRDefault="00A261F9" w:rsidP="000F2E2F">
      <w:pPr>
        <w:spacing w:line="240" w:lineRule="auto"/>
      </w:pPr>
      <w:r w:rsidRPr="000F2E2F">
        <w:rPr>
          <w:rFonts w:ascii="Verdana" w:hAnsi="Verdana"/>
          <w:sz w:val="19"/>
          <w:szCs w:val="19"/>
        </w:rPr>
        <w:t xml:space="preserve">Policy initiatives taken to enable </w:t>
      </w:r>
      <w:r w:rsidR="00077D25" w:rsidRPr="000F2E2F">
        <w:rPr>
          <w:rFonts w:ascii="Verdana" w:hAnsi="Verdana"/>
          <w:sz w:val="19"/>
          <w:szCs w:val="19"/>
        </w:rPr>
        <w:t>non-binary</w:t>
      </w:r>
      <w:r w:rsidR="004A6851" w:rsidRPr="000F2E2F">
        <w:rPr>
          <w:rFonts w:ascii="Verdana" w:hAnsi="Verdana"/>
          <w:sz w:val="19"/>
          <w:szCs w:val="19"/>
        </w:rPr>
        <w:t xml:space="preserve"> persons access</w:t>
      </w:r>
      <w:r w:rsidR="0065284F" w:rsidRPr="000F2E2F">
        <w:rPr>
          <w:rFonts w:ascii="Verdana" w:hAnsi="Verdana"/>
          <w:sz w:val="19"/>
          <w:szCs w:val="19"/>
        </w:rPr>
        <w:t xml:space="preserve"> to</w:t>
      </w:r>
      <w:r w:rsidR="004A6851" w:rsidRPr="000F2E2F">
        <w:rPr>
          <w:rFonts w:ascii="Verdana" w:hAnsi="Verdana"/>
          <w:sz w:val="19"/>
          <w:szCs w:val="19"/>
        </w:rPr>
        <w:t xml:space="preserve"> toilets</w:t>
      </w:r>
      <w:r w:rsidR="00886F3E" w:rsidRPr="000F2E2F">
        <w:rPr>
          <w:rFonts w:ascii="Verdana" w:hAnsi="Verdana"/>
          <w:sz w:val="19"/>
          <w:szCs w:val="19"/>
        </w:rPr>
        <w:t>:</w:t>
      </w:r>
    </w:p>
    <w:p w14:paraId="4A23B40D" w14:textId="4F61A624" w:rsidR="00644E0B" w:rsidRPr="000F2E2F" w:rsidRDefault="00644E0B" w:rsidP="005A0237">
      <w:pPr>
        <w:spacing w:line="240" w:lineRule="auto"/>
        <w:rPr>
          <w:rFonts w:ascii="Verdana" w:hAnsi="Verdana"/>
          <w:sz w:val="19"/>
          <w:szCs w:val="19"/>
        </w:rPr>
      </w:pPr>
      <w:r w:rsidRPr="000F2E2F">
        <w:rPr>
          <w:rFonts w:ascii="Verdana" w:hAnsi="Verdana"/>
          <w:sz w:val="19"/>
          <w:szCs w:val="19"/>
        </w:rPr>
        <w:t xml:space="preserve">The Central and state governments </w:t>
      </w:r>
      <w:r w:rsidR="00101B63" w:rsidRPr="000F2E2F">
        <w:rPr>
          <w:rFonts w:ascii="Verdana" w:hAnsi="Verdana"/>
          <w:sz w:val="19"/>
          <w:szCs w:val="19"/>
        </w:rPr>
        <w:t xml:space="preserve">in India </w:t>
      </w:r>
      <w:r w:rsidRPr="000F2E2F">
        <w:rPr>
          <w:rFonts w:ascii="Verdana" w:hAnsi="Verdana"/>
          <w:sz w:val="19"/>
          <w:szCs w:val="19"/>
        </w:rPr>
        <w:t>have taken some policy measures to enable transgender</w:t>
      </w:r>
      <w:r w:rsidR="00077D25" w:rsidRPr="000F2E2F">
        <w:rPr>
          <w:rFonts w:ascii="Verdana" w:hAnsi="Verdana"/>
          <w:sz w:val="19"/>
          <w:szCs w:val="19"/>
        </w:rPr>
        <w:t xml:space="preserve"> and non-binary</w:t>
      </w:r>
      <w:r w:rsidRPr="000F2E2F">
        <w:rPr>
          <w:rFonts w:ascii="Verdana" w:hAnsi="Verdana"/>
          <w:sz w:val="19"/>
          <w:szCs w:val="19"/>
        </w:rPr>
        <w:t xml:space="preserve"> persons access</w:t>
      </w:r>
      <w:r w:rsidR="0065284F" w:rsidRPr="000F2E2F">
        <w:rPr>
          <w:rFonts w:ascii="Verdana" w:hAnsi="Verdana"/>
          <w:sz w:val="19"/>
          <w:szCs w:val="19"/>
        </w:rPr>
        <w:t xml:space="preserve"> to</w:t>
      </w:r>
      <w:r w:rsidRPr="000F2E2F">
        <w:rPr>
          <w:rFonts w:ascii="Verdana" w:hAnsi="Verdana"/>
          <w:sz w:val="19"/>
          <w:szCs w:val="19"/>
        </w:rPr>
        <w:t xml:space="preserve"> toilets. These include</w:t>
      </w:r>
      <w:r w:rsidR="00064F2B" w:rsidRPr="000F2E2F">
        <w:rPr>
          <w:rFonts w:ascii="Verdana" w:hAnsi="Verdana"/>
          <w:sz w:val="19"/>
          <w:szCs w:val="19"/>
        </w:rPr>
        <w:t xml:space="preserve"> the following</w:t>
      </w:r>
      <w:r w:rsidRPr="000F2E2F">
        <w:rPr>
          <w:rFonts w:ascii="Verdana" w:hAnsi="Verdana"/>
          <w:sz w:val="19"/>
          <w:szCs w:val="19"/>
        </w:rPr>
        <w:t>:</w:t>
      </w:r>
    </w:p>
    <w:p w14:paraId="25455C21" w14:textId="3C5036D0" w:rsidR="00644E0B" w:rsidRPr="00C51ACB" w:rsidRDefault="0038081D" w:rsidP="005A0237">
      <w:pPr>
        <w:pStyle w:val="ListParagraph"/>
        <w:numPr>
          <w:ilvl w:val="0"/>
          <w:numId w:val="31"/>
        </w:numPr>
        <w:spacing w:line="240" w:lineRule="auto"/>
        <w:rPr>
          <w:rFonts w:ascii="Verdana" w:hAnsi="Verdana"/>
          <w:sz w:val="19"/>
          <w:szCs w:val="19"/>
        </w:rPr>
      </w:pPr>
      <w:r w:rsidRPr="00C51ACB">
        <w:rPr>
          <w:rFonts w:ascii="Verdana" w:hAnsi="Verdana"/>
          <w:sz w:val="19"/>
          <w:szCs w:val="19"/>
        </w:rPr>
        <w:t>T</w:t>
      </w:r>
      <w:r w:rsidR="00A261F9" w:rsidRPr="00C51ACB">
        <w:rPr>
          <w:rFonts w:ascii="Verdana" w:hAnsi="Verdana"/>
          <w:sz w:val="19"/>
          <w:szCs w:val="19"/>
        </w:rPr>
        <w:t>he Ministry of Drinking Water and Sanitation</w:t>
      </w:r>
      <w:r w:rsidRPr="00C51ACB">
        <w:rPr>
          <w:rFonts w:ascii="Verdana" w:hAnsi="Verdana"/>
          <w:sz w:val="19"/>
          <w:szCs w:val="19"/>
        </w:rPr>
        <w:t xml:space="preserve"> is the nodal Ministry for the overall policy, planning, funding and coordination of two programs of the Central government</w:t>
      </w:r>
      <w:r w:rsidR="00101B63" w:rsidRPr="00C51ACB">
        <w:rPr>
          <w:rFonts w:ascii="Verdana" w:hAnsi="Verdana"/>
          <w:sz w:val="19"/>
          <w:szCs w:val="19"/>
        </w:rPr>
        <w:t>:</w:t>
      </w:r>
      <w:r w:rsidRPr="00C51ACB">
        <w:rPr>
          <w:rFonts w:ascii="Verdana" w:hAnsi="Verdana"/>
          <w:i/>
          <w:sz w:val="19"/>
          <w:szCs w:val="19"/>
        </w:rPr>
        <w:t xml:space="preserve"> </w:t>
      </w:r>
      <w:r w:rsidRPr="00C51ACB">
        <w:rPr>
          <w:rFonts w:ascii="Verdana" w:hAnsi="Verdana"/>
          <w:sz w:val="19"/>
          <w:szCs w:val="19"/>
        </w:rPr>
        <w:t>the National Rural Drinking Water Programme</w:t>
      </w:r>
      <w:r w:rsidR="00353618">
        <w:rPr>
          <w:rStyle w:val="FootnoteReference"/>
          <w:rFonts w:ascii="Verdana" w:hAnsi="Verdana"/>
          <w:sz w:val="19"/>
          <w:szCs w:val="19"/>
        </w:rPr>
        <w:footnoteReference w:id="29"/>
      </w:r>
      <w:r w:rsidRPr="00C51ACB">
        <w:rPr>
          <w:rFonts w:ascii="Verdana" w:hAnsi="Verdana"/>
          <w:sz w:val="19"/>
          <w:szCs w:val="19"/>
        </w:rPr>
        <w:t xml:space="preserve"> (NRDWP) </w:t>
      </w:r>
      <w:r w:rsidR="00101B63" w:rsidRPr="00C51ACB">
        <w:rPr>
          <w:rFonts w:ascii="Verdana" w:hAnsi="Verdana"/>
          <w:sz w:val="19"/>
          <w:szCs w:val="19"/>
        </w:rPr>
        <w:t>(</w:t>
      </w:r>
      <w:r w:rsidRPr="00C51ACB">
        <w:rPr>
          <w:rFonts w:ascii="Verdana" w:hAnsi="Verdana"/>
          <w:sz w:val="19"/>
          <w:szCs w:val="19"/>
        </w:rPr>
        <w:t>for rural drinking water supply</w:t>
      </w:r>
      <w:r w:rsidR="00101B63" w:rsidRPr="00C51ACB">
        <w:rPr>
          <w:rFonts w:ascii="Verdana" w:hAnsi="Verdana"/>
          <w:sz w:val="19"/>
          <w:szCs w:val="19"/>
        </w:rPr>
        <w:t>)</w:t>
      </w:r>
      <w:r w:rsidRPr="00C51ACB">
        <w:rPr>
          <w:rFonts w:ascii="Verdana" w:hAnsi="Verdana"/>
          <w:sz w:val="19"/>
          <w:szCs w:val="19"/>
        </w:rPr>
        <w:t xml:space="preserve"> and the Swachh Bharat Mission</w:t>
      </w:r>
      <w:r w:rsidR="00353618">
        <w:rPr>
          <w:rStyle w:val="FootnoteReference"/>
          <w:rFonts w:ascii="Verdana" w:hAnsi="Verdana"/>
          <w:sz w:val="19"/>
          <w:szCs w:val="19"/>
        </w:rPr>
        <w:footnoteReference w:id="30"/>
      </w:r>
      <w:r w:rsidRPr="00C51ACB">
        <w:rPr>
          <w:rFonts w:ascii="Verdana" w:hAnsi="Verdana"/>
          <w:sz w:val="19"/>
          <w:szCs w:val="19"/>
        </w:rPr>
        <w:t xml:space="preserve"> (for sanitation in the country</w:t>
      </w:r>
      <w:r w:rsidR="00101B63" w:rsidRPr="00C51ACB">
        <w:rPr>
          <w:rFonts w:ascii="Verdana" w:hAnsi="Verdana"/>
          <w:sz w:val="19"/>
          <w:szCs w:val="19"/>
        </w:rPr>
        <w:t>)</w:t>
      </w:r>
      <w:r w:rsidRPr="00C51ACB">
        <w:rPr>
          <w:rFonts w:ascii="Verdana" w:hAnsi="Verdana"/>
          <w:sz w:val="19"/>
          <w:szCs w:val="19"/>
        </w:rPr>
        <w:t>. In April 2017, the Ministry</w:t>
      </w:r>
      <w:r w:rsidR="00101B63" w:rsidRPr="00C51ACB">
        <w:rPr>
          <w:rFonts w:ascii="Verdana" w:hAnsi="Verdana"/>
          <w:sz w:val="19"/>
          <w:szCs w:val="19"/>
        </w:rPr>
        <w:t xml:space="preserve"> also</w:t>
      </w:r>
      <w:r w:rsidR="00A261F9" w:rsidRPr="00C51ACB">
        <w:rPr>
          <w:rFonts w:ascii="Verdana" w:hAnsi="Verdana"/>
          <w:sz w:val="19"/>
          <w:szCs w:val="19"/>
        </w:rPr>
        <w:t xml:space="preserve"> issued guidelines stating that members of the </w:t>
      </w:r>
      <w:r w:rsidR="00101B63" w:rsidRPr="00C51ACB">
        <w:rPr>
          <w:rFonts w:ascii="Verdana" w:hAnsi="Verdana"/>
          <w:sz w:val="19"/>
          <w:szCs w:val="19"/>
        </w:rPr>
        <w:t>“</w:t>
      </w:r>
      <w:r w:rsidR="00A261F9" w:rsidRPr="00C51ACB">
        <w:rPr>
          <w:rFonts w:ascii="Verdana" w:hAnsi="Verdana"/>
          <w:sz w:val="19"/>
          <w:szCs w:val="19"/>
        </w:rPr>
        <w:t>third-gender community</w:t>
      </w:r>
      <w:r w:rsidR="00101B63" w:rsidRPr="00C51ACB">
        <w:rPr>
          <w:rFonts w:ascii="Verdana" w:hAnsi="Verdana"/>
          <w:sz w:val="19"/>
          <w:szCs w:val="19"/>
        </w:rPr>
        <w:t>”</w:t>
      </w:r>
      <w:r w:rsidR="004A6851" w:rsidRPr="00C51ACB">
        <w:rPr>
          <w:rStyle w:val="FootnoteReference"/>
          <w:rFonts w:ascii="Verdana" w:eastAsia="Garamond" w:hAnsi="Verdana"/>
          <w:sz w:val="19"/>
          <w:szCs w:val="19"/>
        </w:rPr>
        <w:footnoteReference w:id="31"/>
      </w:r>
      <w:r w:rsidR="00101B63" w:rsidRPr="00C51ACB">
        <w:rPr>
          <w:rFonts w:ascii="Verdana" w:hAnsi="Verdana"/>
          <w:sz w:val="19"/>
          <w:szCs w:val="19"/>
        </w:rPr>
        <w:t xml:space="preserve"> should</w:t>
      </w:r>
      <w:r w:rsidR="00A261F9" w:rsidRPr="00C51ACB">
        <w:rPr>
          <w:rFonts w:ascii="Verdana" w:hAnsi="Verdana"/>
          <w:sz w:val="19"/>
          <w:szCs w:val="19"/>
        </w:rPr>
        <w:t xml:space="preserve"> be allowed to use public toilets of their choice (</w:t>
      </w:r>
      <w:r w:rsidR="00101B63" w:rsidRPr="00C51ACB">
        <w:rPr>
          <w:rFonts w:ascii="Verdana" w:hAnsi="Verdana"/>
          <w:sz w:val="19"/>
          <w:szCs w:val="19"/>
        </w:rPr>
        <w:t xml:space="preserve">including toilets typically reserved for either </w:t>
      </w:r>
      <w:r w:rsidR="00A261F9" w:rsidRPr="00C51ACB">
        <w:rPr>
          <w:rFonts w:ascii="Verdana" w:hAnsi="Verdana"/>
          <w:sz w:val="19"/>
          <w:szCs w:val="19"/>
        </w:rPr>
        <w:t>men or women).</w:t>
      </w:r>
      <w:r w:rsidR="00A261F9" w:rsidRPr="00C51ACB">
        <w:rPr>
          <w:rFonts w:ascii="Verdana" w:hAnsi="Verdana"/>
          <w:sz w:val="19"/>
          <w:szCs w:val="19"/>
          <w:vertAlign w:val="superscript"/>
        </w:rPr>
        <w:footnoteReference w:id="32"/>
      </w:r>
      <w:r w:rsidR="004A6851" w:rsidRPr="00C51ACB">
        <w:rPr>
          <w:rFonts w:ascii="Verdana" w:hAnsi="Verdana"/>
          <w:sz w:val="19"/>
          <w:szCs w:val="19"/>
        </w:rPr>
        <w:t xml:space="preserve"> </w:t>
      </w:r>
    </w:p>
    <w:p w14:paraId="5EFD25F3" w14:textId="004547F5" w:rsidR="00644E0B" w:rsidRPr="00C51ACB" w:rsidRDefault="00EE2676" w:rsidP="005A0237">
      <w:pPr>
        <w:pStyle w:val="ListParagraph"/>
        <w:numPr>
          <w:ilvl w:val="0"/>
          <w:numId w:val="31"/>
        </w:numPr>
        <w:spacing w:line="240" w:lineRule="auto"/>
        <w:rPr>
          <w:rFonts w:ascii="Verdana" w:eastAsia="Garamond" w:hAnsi="Verdana"/>
          <w:sz w:val="19"/>
          <w:szCs w:val="19"/>
        </w:rPr>
      </w:pPr>
      <w:r w:rsidRPr="00C51ACB">
        <w:rPr>
          <w:rFonts w:ascii="Verdana" w:hAnsi="Verdana"/>
          <w:sz w:val="19"/>
          <w:szCs w:val="19"/>
        </w:rPr>
        <w:t>T</w:t>
      </w:r>
      <w:r w:rsidR="0038081D" w:rsidRPr="00C51ACB">
        <w:rPr>
          <w:rFonts w:ascii="Verdana" w:hAnsi="Verdana"/>
          <w:sz w:val="19"/>
          <w:szCs w:val="19"/>
        </w:rPr>
        <w:t>he</w:t>
      </w:r>
      <w:r w:rsidR="004A6851" w:rsidRPr="00C51ACB">
        <w:rPr>
          <w:rFonts w:ascii="Verdana" w:hAnsi="Verdana"/>
          <w:sz w:val="19"/>
          <w:szCs w:val="19"/>
        </w:rPr>
        <w:t xml:space="preserve"> </w:t>
      </w:r>
      <w:r w:rsidR="00064F2B" w:rsidRPr="00C51ACB">
        <w:rPr>
          <w:rFonts w:ascii="Verdana" w:hAnsi="Verdana"/>
          <w:sz w:val="19"/>
          <w:szCs w:val="19"/>
        </w:rPr>
        <w:t xml:space="preserve">state of </w:t>
      </w:r>
      <w:r w:rsidR="004A6851" w:rsidRPr="00C51ACB">
        <w:rPr>
          <w:rFonts w:ascii="Verdana" w:hAnsi="Verdana"/>
          <w:sz w:val="19"/>
          <w:szCs w:val="19"/>
        </w:rPr>
        <w:t xml:space="preserve">Karnataka requires </w:t>
      </w:r>
      <w:r w:rsidR="0038081D" w:rsidRPr="00C51ACB">
        <w:rPr>
          <w:rFonts w:ascii="Verdana" w:hAnsi="Verdana"/>
          <w:sz w:val="19"/>
          <w:szCs w:val="19"/>
        </w:rPr>
        <w:t>the</w:t>
      </w:r>
      <w:r w:rsidR="004A6851" w:rsidRPr="00C51ACB">
        <w:rPr>
          <w:rFonts w:ascii="Verdana" w:hAnsi="Verdana"/>
          <w:sz w:val="19"/>
          <w:szCs w:val="19"/>
        </w:rPr>
        <w:t xml:space="preserve"> Transport Department and Urban Development Department </w:t>
      </w:r>
      <w:r w:rsidR="0038081D" w:rsidRPr="00C51ACB">
        <w:rPr>
          <w:rFonts w:ascii="Verdana" w:hAnsi="Verdana"/>
          <w:sz w:val="19"/>
          <w:szCs w:val="19"/>
        </w:rPr>
        <w:t>to</w:t>
      </w:r>
      <w:r w:rsidR="004A6851" w:rsidRPr="00C51ACB">
        <w:rPr>
          <w:rFonts w:ascii="Verdana" w:hAnsi="Verdana"/>
          <w:sz w:val="19"/>
          <w:szCs w:val="19"/>
        </w:rPr>
        <w:t xml:space="preserve"> ensure that public toilets for transgender persons are made available in places such as bus, stands, shopping places, cinema halls, hospitals, railway stations,</w:t>
      </w:r>
      <w:r w:rsidR="0038081D" w:rsidRPr="00C51ACB">
        <w:rPr>
          <w:rFonts w:ascii="Verdana" w:hAnsi="Verdana"/>
          <w:sz w:val="19"/>
          <w:szCs w:val="19"/>
        </w:rPr>
        <w:t xml:space="preserve"> </w:t>
      </w:r>
      <w:r w:rsidR="004A6851" w:rsidRPr="00C51ACB">
        <w:rPr>
          <w:rFonts w:ascii="Verdana" w:hAnsi="Verdana"/>
          <w:sz w:val="19"/>
          <w:szCs w:val="19"/>
        </w:rPr>
        <w:t>etc.</w:t>
      </w:r>
      <w:r w:rsidR="0038081D" w:rsidRPr="00C51ACB">
        <w:rPr>
          <w:rStyle w:val="FootnoteReference"/>
          <w:rFonts w:ascii="Verdana" w:hAnsi="Verdana"/>
          <w:sz w:val="19"/>
          <w:szCs w:val="19"/>
        </w:rPr>
        <w:footnoteReference w:id="33"/>
      </w:r>
      <w:r w:rsidR="0038081D" w:rsidRPr="00C51ACB">
        <w:rPr>
          <w:rFonts w:ascii="Verdana" w:hAnsi="Verdana"/>
          <w:sz w:val="19"/>
          <w:szCs w:val="19"/>
        </w:rPr>
        <w:t xml:space="preserve"> The policy</w:t>
      </w:r>
      <w:r w:rsidR="00626BC7">
        <w:rPr>
          <w:rFonts w:ascii="Verdana" w:hAnsi="Verdana"/>
          <w:sz w:val="19"/>
          <w:szCs w:val="19"/>
        </w:rPr>
        <w:t>,</w:t>
      </w:r>
      <w:r w:rsidR="0038081D" w:rsidRPr="00C51ACB">
        <w:rPr>
          <w:rFonts w:ascii="Verdana" w:hAnsi="Verdana"/>
          <w:sz w:val="19"/>
          <w:szCs w:val="19"/>
        </w:rPr>
        <w:t xml:space="preserve"> </w:t>
      </w:r>
      <w:r w:rsidR="00064F2B" w:rsidRPr="00C51ACB">
        <w:rPr>
          <w:rFonts w:ascii="Verdana" w:hAnsi="Verdana"/>
          <w:sz w:val="19"/>
          <w:szCs w:val="19"/>
        </w:rPr>
        <w:t xml:space="preserve">however, </w:t>
      </w:r>
      <w:r w:rsidR="0038081D" w:rsidRPr="00C51ACB">
        <w:rPr>
          <w:rFonts w:ascii="Verdana" w:hAnsi="Verdana"/>
          <w:sz w:val="19"/>
          <w:szCs w:val="19"/>
        </w:rPr>
        <w:t xml:space="preserve">does not specify whether this should be done by </w:t>
      </w:r>
      <w:r w:rsidR="00333917" w:rsidRPr="00C51ACB">
        <w:rPr>
          <w:rFonts w:ascii="Verdana" w:hAnsi="Verdana"/>
          <w:sz w:val="19"/>
          <w:szCs w:val="19"/>
        </w:rPr>
        <w:t xml:space="preserve">constructing gender-neutral toilets, or toilets specifically for transgender persons, or by allowing transgender persons to use the toilet of their choice. </w:t>
      </w:r>
    </w:p>
    <w:p w14:paraId="0E50941D" w14:textId="30A5C3F4" w:rsidR="00ED280F" w:rsidRPr="00C51ACB" w:rsidRDefault="00ED280F" w:rsidP="005A0237">
      <w:pPr>
        <w:pStyle w:val="ListParagraph"/>
        <w:numPr>
          <w:ilvl w:val="0"/>
          <w:numId w:val="31"/>
        </w:numPr>
        <w:spacing w:line="240" w:lineRule="auto"/>
        <w:rPr>
          <w:rFonts w:ascii="Verdana" w:hAnsi="Verdana"/>
          <w:sz w:val="19"/>
          <w:szCs w:val="19"/>
        </w:rPr>
      </w:pPr>
      <w:r w:rsidRPr="00C51ACB">
        <w:rPr>
          <w:rFonts w:ascii="Verdana" w:hAnsi="Verdana"/>
          <w:sz w:val="19"/>
          <w:szCs w:val="19"/>
        </w:rPr>
        <w:t>Municipalities in some districts of Tamil Nadu, Karnataka</w:t>
      </w:r>
      <w:r w:rsidRPr="00C51ACB">
        <w:rPr>
          <w:rFonts w:ascii="Verdana" w:hAnsi="Verdana"/>
          <w:sz w:val="19"/>
          <w:szCs w:val="19"/>
          <w:vertAlign w:val="superscript"/>
        </w:rPr>
        <w:footnoteReference w:id="34"/>
      </w:r>
      <w:r w:rsidRPr="00C51ACB">
        <w:rPr>
          <w:rFonts w:ascii="Verdana" w:hAnsi="Verdana"/>
          <w:sz w:val="19"/>
          <w:szCs w:val="19"/>
        </w:rPr>
        <w:t xml:space="preserve"> and Madhya Pradesh</w:t>
      </w:r>
      <w:r w:rsidRPr="00C51ACB">
        <w:rPr>
          <w:rFonts w:ascii="Verdana" w:hAnsi="Verdana"/>
          <w:sz w:val="19"/>
          <w:szCs w:val="19"/>
          <w:vertAlign w:val="superscript"/>
        </w:rPr>
        <w:footnoteReference w:id="35"/>
      </w:r>
      <w:r w:rsidRPr="00C51ACB">
        <w:rPr>
          <w:rFonts w:ascii="Verdana" w:hAnsi="Verdana"/>
          <w:sz w:val="19"/>
          <w:szCs w:val="19"/>
        </w:rPr>
        <w:t xml:space="preserve"> have taken steps to construct separate toilets for transgender persons, or unisex toilets open to all.</w:t>
      </w:r>
      <w:r w:rsidRPr="00C51ACB">
        <w:rPr>
          <w:rFonts w:ascii="Verdana" w:hAnsi="Verdana"/>
          <w:sz w:val="19"/>
          <w:szCs w:val="19"/>
          <w:vertAlign w:val="superscript"/>
        </w:rPr>
        <w:footnoteReference w:id="36"/>
      </w:r>
    </w:p>
    <w:p w14:paraId="169C520D" w14:textId="31736DDF" w:rsidR="005974CF" w:rsidRPr="00C51ACB" w:rsidRDefault="00644E0B" w:rsidP="005A0237">
      <w:pPr>
        <w:spacing w:line="240" w:lineRule="auto"/>
        <w:rPr>
          <w:rFonts w:ascii="Verdana" w:hAnsi="Verdana"/>
          <w:sz w:val="19"/>
          <w:szCs w:val="19"/>
        </w:rPr>
      </w:pPr>
      <w:r w:rsidRPr="00C51ACB">
        <w:rPr>
          <w:rFonts w:ascii="Verdana" w:hAnsi="Verdana"/>
          <w:sz w:val="19"/>
          <w:szCs w:val="19"/>
        </w:rPr>
        <w:lastRenderedPageBreak/>
        <w:t xml:space="preserve">In the absence of </w:t>
      </w:r>
      <w:r w:rsidR="00626BC7">
        <w:rPr>
          <w:rFonts w:ascii="Verdana" w:hAnsi="Verdana"/>
          <w:sz w:val="19"/>
          <w:szCs w:val="19"/>
        </w:rPr>
        <w:t xml:space="preserve">additional </w:t>
      </w:r>
      <w:r w:rsidRPr="00C51ACB">
        <w:rPr>
          <w:rFonts w:ascii="Verdana" w:hAnsi="Verdana"/>
          <w:sz w:val="19"/>
          <w:szCs w:val="19"/>
        </w:rPr>
        <w:t>positive steps by the state to combat stigma against transgender</w:t>
      </w:r>
      <w:r w:rsidR="00077D25">
        <w:rPr>
          <w:rFonts w:ascii="Verdana" w:hAnsi="Verdana"/>
          <w:sz w:val="19"/>
          <w:szCs w:val="19"/>
        </w:rPr>
        <w:t xml:space="preserve"> and non-binary</w:t>
      </w:r>
      <w:r w:rsidRPr="00C51ACB">
        <w:rPr>
          <w:rFonts w:ascii="Verdana" w:hAnsi="Verdana"/>
          <w:sz w:val="19"/>
          <w:szCs w:val="19"/>
        </w:rPr>
        <w:t xml:space="preserve"> persons, </w:t>
      </w:r>
      <w:r w:rsidR="00F22683" w:rsidRPr="00C51ACB">
        <w:rPr>
          <w:rFonts w:ascii="Verdana" w:hAnsi="Verdana"/>
          <w:sz w:val="19"/>
          <w:szCs w:val="19"/>
        </w:rPr>
        <w:t>as well as the lack of concerted and collaborative efforts by the various ministries of the government</w:t>
      </w:r>
      <w:r w:rsidR="005974CF" w:rsidRPr="00C51ACB">
        <w:rPr>
          <w:rFonts w:ascii="Verdana" w:hAnsi="Verdana"/>
          <w:sz w:val="19"/>
          <w:szCs w:val="19"/>
        </w:rPr>
        <w:t>,</w:t>
      </w:r>
      <w:r w:rsidR="00F22683" w:rsidRPr="00C51ACB">
        <w:rPr>
          <w:rFonts w:ascii="Verdana" w:hAnsi="Verdana"/>
          <w:sz w:val="19"/>
          <w:szCs w:val="19"/>
        </w:rPr>
        <w:t xml:space="preserve"> </w:t>
      </w:r>
      <w:r w:rsidRPr="00C51ACB">
        <w:rPr>
          <w:rFonts w:ascii="Verdana" w:hAnsi="Verdana"/>
          <w:sz w:val="19"/>
          <w:szCs w:val="19"/>
        </w:rPr>
        <w:t>broad policy statements have</w:t>
      </w:r>
      <w:r w:rsidR="00626BC7">
        <w:rPr>
          <w:rFonts w:ascii="Verdana" w:hAnsi="Verdana"/>
          <w:sz w:val="19"/>
          <w:szCs w:val="19"/>
        </w:rPr>
        <w:t xml:space="preserve"> effectively</w:t>
      </w:r>
      <w:r w:rsidRPr="00C51ACB">
        <w:rPr>
          <w:rFonts w:ascii="Verdana" w:hAnsi="Verdana"/>
          <w:sz w:val="19"/>
          <w:szCs w:val="19"/>
        </w:rPr>
        <w:t xml:space="preserve"> </w:t>
      </w:r>
      <w:r w:rsidR="00626BC7">
        <w:rPr>
          <w:rFonts w:ascii="Verdana" w:hAnsi="Verdana"/>
          <w:sz w:val="19"/>
          <w:szCs w:val="19"/>
        </w:rPr>
        <w:t xml:space="preserve">remained a dead letter and, by themselves alone, have not </w:t>
      </w:r>
      <w:r w:rsidRPr="00C51ACB">
        <w:rPr>
          <w:rFonts w:ascii="Verdana" w:hAnsi="Verdana"/>
          <w:sz w:val="19"/>
          <w:szCs w:val="19"/>
        </w:rPr>
        <w:t>enabl</w:t>
      </w:r>
      <w:r w:rsidR="00626BC7">
        <w:rPr>
          <w:rFonts w:ascii="Verdana" w:hAnsi="Verdana"/>
          <w:sz w:val="19"/>
          <w:szCs w:val="19"/>
        </w:rPr>
        <w:t xml:space="preserve">ed </w:t>
      </w:r>
      <w:r w:rsidRPr="00C51ACB">
        <w:rPr>
          <w:rFonts w:ascii="Verdana" w:hAnsi="Verdana"/>
          <w:sz w:val="19"/>
          <w:szCs w:val="19"/>
        </w:rPr>
        <w:t>access</w:t>
      </w:r>
      <w:r w:rsidR="00F22683" w:rsidRPr="00C51ACB">
        <w:rPr>
          <w:rFonts w:ascii="Verdana" w:hAnsi="Verdana"/>
          <w:sz w:val="19"/>
          <w:szCs w:val="19"/>
        </w:rPr>
        <w:t xml:space="preserve"> to</w:t>
      </w:r>
      <w:r w:rsidRPr="00C51ACB">
        <w:rPr>
          <w:rFonts w:ascii="Verdana" w:hAnsi="Verdana"/>
          <w:sz w:val="19"/>
          <w:szCs w:val="19"/>
        </w:rPr>
        <w:t xml:space="preserve"> adequate sanitation facilities. </w:t>
      </w:r>
      <w:r w:rsidR="005974CF" w:rsidRPr="00C51ACB">
        <w:rPr>
          <w:rFonts w:ascii="Verdana" w:hAnsi="Verdana"/>
          <w:sz w:val="19"/>
          <w:szCs w:val="19"/>
        </w:rPr>
        <w:t xml:space="preserve">Transgender </w:t>
      </w:r>
      <w:r w:rsidR="00626BC7">
        <w:rPr>
          <w:rFonts w:ascii="Verdana" w:hAnsi="Verdana"/>
          <w:sz w:val="19"/>
          <w:szCs w:val="19"/>
        </w:rPr>
        <w:t xml:space="preserve">individuals </w:t>
      </w:r>
      <w:r w:rsidR="00077D25">
        <w:rPr>
          <w:rFonts w:ascii="Verdana" w:hAnsi="Verdana"/>
          <w:sz w:val="19"/>
          <w:szCs w:val="19"/>
        </w:rPr>
        <w:t xml:space="preserve">and non-binary </w:t>
      </w:r>
      <w:r w:rsidR="005974CF" w:rsidRPr="00C51ACB">
        <w:rPr>
          <w:rFonts w:ascii="Verdana" w:hAnsi="Verdana"/>
          <w:sz w:val="19"/>
          <w:szCs w:val="19"/>
        </w:rPr>
        <w:t xml:space="preserve">persons are often insufficiently consulted in these policy development processes. </w:t>
      </w:r>
    </w:p>
    <w:p w14:paraId="625B37F6" w14:textId="3810DBA7" w:rsidR="00644E0B" w:rsidRPr="00C51ACB" w:rsidRDefault="005974CF" w:rsidP="005A0237">
      <w:pPr>
        <w:spacing w:line="240" w:lineRule="auto"/>
        <w:rPr>
          <w:rFonts w:ascii="Verdana" w:hAnsi="Verdana"/>
          <w:sz w:val="19"/>
          <w:szCs w:val="19"/>
        </w:rPr>
      </w:pPr>
      <w:r w:rsidRPr="00C51ACB">
        <w:rPr>
          <w:rFonts w:ascii="Verdana" w:hAnsi="Verdana"/>
          <w:sz w:val="19"/>
          <w:szCs w:val="19"/>
        </w:rPr>
        <w:t xml:space="preserve">Moreover, formal government policies are often unknown to state officials ultimately responsible for ensuring access to sanitation (such as local officials, police, and security </w:t>
      </w:r>
      <w:r w:rsidR="00626BC7">
        <w:rPr>
          <w:rFonts w:ascii="Verdana" w:hAnsi="Verdana"/>
          <w:sz w:val="19"/>
          <w:szCs w:val="19"/>
        </w:rPr>
        <w:t xml:space="preserve">personnel </w:t>
      </w:r>
      <w:r w:rsidRPr="00C51ACB">
        <w:rPr>
          <w:rFonts w:ascii="Verdana" w:hAnsi="Verdana"/>
          <w:sz w:val="19"/>
          <w:szCs w:val="19"/>
        </w:rPr>
        <w:t xml:space="preserve">outside sanitation facilities). Written policies therefore go largely unimplemented and contrast significantly with the continued lived reality </w:t>
      </w:r>
      <w:r w:rsidR="00626BC7">
        <w:rPr>
          <w:rFonts w:ascii="Verdana" w:hAnsi="Verdana"/>
          <w:sz w:val="19"/>
          <w:szCs w:val="19"/>
        </w:rPr>
        <w:t xml:space="preserve">against which </w:t>
      </w:r>
      <w:r w:rsidRPr="00C51ACB">
        <w:rPr>
          <w:rFonts w:ascii="Verdana" w:hAnsi="Verdana"/>
          <w:sz w:val="19"/>
          <w:szCs w:val="19"/>
        </w:rPr>
        <w:t>the vast majority of transgender and</w:t>
      </w:r>
      <w:r w:rsidR="00077D25">
        <w:rPr>
          <w:rFonts w:ascii="Verdana" w:hAnsi="Verdana"/>
          <w:sz w:val="19"/>
          <w:szCs w:val="19"/>
        </w:rPr>
        <w:t xml:space="preserve"> non-binary</w:t>
      </w:r>
      <w:r w:rsidRPr="00C51ACB">
        <w:rPr>
          <w:rFonts w:ascii="Verdana" w:hAnsi="Verdana"/>
          <w:sz w:val="19"/>
          <w:szCs w:val="19"/>
        </w:rPr>
        <w:t xml:space="preserve"> </w:t>
      </w:r>
      <w:r w:rsidR="00626BC7">
        <w:rPr>
          <w:rFonts w:ascii="Verdana" w:hAnsi="Verdana"/>
          <w:sz w:val="19"/>
          <w:szCs w:val="19"/>
        </w:rPr>
        <w:t>individuals</w:t>
      </w:r>
      <w:r w:rsidR="00626BC7" w:rsidRPr="00C51ACB">
        <w:rPr>
          <w:rFonts w:ascii="Verdana" w:hAnsi="Verdana"/>
          <w:sz w:val="19"/>
          <w:szCs w:val="19"/>
        </w:rPr>
        <w:t xml:space="preserve"> </w:t>
      </w:r>
      <w:r w:rsidRPr="00C51ACB">
        <w:rPr>
          <w:rFonts w:ascii="Verdana" w:hAnsi="Verdana"/>
          <w:sz w:val="19"/>
          <w:szCs w:val="19"/>
        </w:rPr>
        <w:t>continue to struggle to achieve basic access to water and sanitation throughout India.</w:t>
      </w:r>
    </w:p>
    <w:bookmarkEnd w:id="1"/>
    <w:p w14:paraId="1E4919EC" w14:textId="77777777" w:rsidR="002C3BA8" w:rsidRDefault="00EF0A1C" w:rsidP="00FB13F5">
      <w:pPr>
        <w:pStyle w:val="Heading1"/>
        <w:numPr>
          <w:ilvl w:val="0"/>
          <w:numId w:val="26"/>
        </w:numPr>
        <w:spacing w:line="240" w:lineRule="auto"/>
        <w:rPr>
          <w:rFonts w:ascii="Verdana" w:hAnsi="Verdana"/>
          <w:b/>
          <w:color w:val="auto"/>
          <w:sz w:val="19"/>
          <w:szCs w:val="19"/>
        </w:rPr>
      </w:pPr>
      <w:r w:rsidRPr="00C51ACB">
        <w:rPr>
          <w:rFonts w:ascii="Verdana" w:hAnsi="Verdana"/>
          <w:b/>
          <w:color w:val="auto"/>
          <w:sz w:val="19"/>
          <w:szCs w:val="19"/>
        </w:rPr>
        <w:t xml:space="preserve">Please specify how access to water and sanitation in public space is regulated and monitored, and whether this monitoring and regulatory framework is effective. </w:t>
      </w:r>
    </w:p>
    <w:p w14:paraId="67C00BB3" w14:textId="79C75C66" w:rsidR="00EF0A1C" w:rsidRPr="00C51ACB" w:rsidRDefault="002C3BA8" w:rsidP="00C51ACB">
      <w:pPr>
        <w:pStyle w:val="Heading1"/>
        <w:numPr>
          <w:ilvl w:val="0"/>
          <w:numId w:val="0"/>
        </w:numPr>
        <w:spacing w:line="240" w:lineRule="auto"/>
        <w:rPr>
          <w:rFonts w:ascii="Verdana" w:hAnsi="Verdana"/>
          <w:b/>
          <w:color w:val="auto"/>
          <w:sz w:val="19"/>
          <w:szCs w:val="19"/>
        </w:rPr>
      </w:pPr>
      <w:r>
        <w:rPr>
          <w:rFonts w:ascii="Verdana" w:hAnsi="Verdana"/>
          <w:color w:val="auto"/>
          <w:sz w:val="19"/>
          <w:szCs w:val="19"/>
        </w:rPr>
        <w:t xml:space="preserve">This submission is limited to the issue of discrimination </w:t>
      </w:r>
      <w:r w:rsidR="00C86DD1">
        <w:rPr>
          <w:rFonts w:ascii="Verdana" w:hAnsi="Verdana"/>
          <w:color w:val="auto"/>
          <w:sz w:val="19"/>
          <w:szCs w:val="19"/>
        </w:rPr>
        <w:t xml:space="preserve">faced by transgender persons and non-binary </w:t>
      </w:r>
      <w:r w:rsidR="00626BC7">
        <w:rPr>
          <w:rFonts w:ascii="Verdana" w:hAnsi="Verdana"/>
          <w:color w:val="auto"/>
          <w:sz w:val="19"/>
          <w:szCs w:val="19"/>
        </w:rPr>
        <w:t xml:space="preserve">individuals </w:t>
      </w:r>
      <w:r>
        <w:rPr>
          <w:rFonts w:ascii="Verdana" w:hAnsi="Verdana"/>
          <w:color w:val="auto"/>
          <w:sz w:val="19"/>
          <w:szCs w:val="19"/>
        </w:rPr>
        <w:t>in access to sanitation facilities, based on the findings of ICJ’s research in India. It does</w:t>
      </w:r>
      <w:r w:rsidR="00C86DD1">
        <w:rPr>
          <w:rFonts w:ascii="Verdana" w:hAnsi="Verdana"/>
          <w:color w:val="auto"/>
          <w:sz w:val="19"/>
          <w:szCs w:val="19"/>
        </w:rPr>
        <w:t xml:space="preserve"> not</w:t>
      </w:r>
      <w:r>
        <w:rPr>
          <w:rFonts w:ascii="Verdana" w:hAnsi="Verdana"/>
          <w:color w:val="auto"/>
          <w:sz w:val="19"/>
          <w:szCs w:val="19"/>
        </w:rPr>
        <w:t xml:space="preserve"> deal with monitoring and evaluation of access to water and sanitation within government structures. </w:t>
      </w:r>
    </w:p>
    <w:p w14:paraId="08FC8CC8" w14:textId="110142DC" w:rsidR="00EF0A1C" w:rsidRPr="00C51ACB" w:rsidRDefault="00EF0A1C" w:rsidP="00FB13F5">
      <w:pPr>
        <w:pStyle w:val="Heading1"/>
        <w:numPr>
          <w:ilvl w:val="0"/>
          <w:numId w:val="24"/>
        </w:numPr>
        <w:spacing w:line="240" w:lineRule="auto"/>
        <w:rPr>
          <w:rFonts w:ascii="Verdana" w:hAnsi="Verdana"/>
          <w:b/>
          <w:color w:val="auto"/>
          <w:sz w:val="19"/>
          <w:szCs w:val="19"/>
        </w:rPr>
      </w:pPr>
      <w:r w:rsidRPr="00C51ACB">
        <w:rPr>
          <w:rFonts w:ascii="Verdana" w:hAnsi="Verdana"/>
          <w:b/>
          <w:color w:val="auto"/>
          <w:sz w:val="19"/>
          <w:szCs w:val="19"/>
        </w:rPr>
        <w:t xml:space="preserve">Please give details of any relevant judicial or quasi-judicial action at both domestic or international level you have been involved in, or are aware of, that concerns access to water and sanitation in public spaces, and which applies a rights-based approach. </w:t>
      </w:r>
    </w:p>
    <w:p w14:paraId="5A05352B" w14:textId="7A2C8694" w:rsidR="00865989" w:rsidRPr="00C51ACB" w:rsidRDefault="00333917" w:rsidP="00FB13F5">
      <w:pPr>
        <w:spacing w:line="240" w:lineRule="auto"/>
        <w:rPr>
          <w:rFonts w:ascii="Verdana" w:hAnsi="Verdana"/>
          <w:sz w:val="19"/>
          <w:szCs w:val="19"/>
        </w:rPr>
      </w:pPr>
      <w:r w:rsidRPr="00C51ACB">
        <w:rPr>
          <w:rFonts w:ascii="Verdana" w:hAnsi="Verdana"/>
          <w:sz w:val="19"/>
          <w:szCs w:val="19"/>
        </w:rPr>
        <w:t xml:space="preserve">The ICJ has not been involved in judicial or quasi-judicial action at the Indian domestic level that concerns water and sanitation in public spaces. </w:t>
      </w:r>
      <w:r w:rsidR="005974CF" w:rsidRPr="00C51ACB">
        <w:rPr>
          <w:rFonts w:ascii="Verdana" w:hAnsi="Verdana"/>
          <w:sz w:val="19"/>
          <w:szCs w:val="19"/>
        </w:rPr>
        <w:t xml:space="preserve"> </w:t>
      </w:r>
      <w:r w:rsidR="00C233BD" w:rsidRPr="00C51ACB">
        <w:rPr>
          <w:rFonts w:ascii="Verdana" w:hAnsi="Verdana"/>
          <w:sz w:val="19"/>
          <w:szCs w:val="19"/>
        </w:rPr>
        <w:t>T</w:t>
      </w:r>
      <w:r w:rsidR="003F569F" w:rsidRPr="00C51ACB">
        <w:rPr>
          <w:rFonts w:ascii="Verdana" w:hAnsi="Verdana"/>
          <w:sz w:val="19"/>
          <w:szCs w:val="19"/>
        </w:rPr>
        <w:t xml:space="preserve">he ICJ has </w:t>
      </w:r>
      <w:r w:rsidR="00C233BD" w:rsidRPr="00C51ACB">
        <w:rPr>
          <w:rFonts w:ascii="Verdana" w:hAnsi="Verdana"/>
          <w:sz w:val="19"/>
          <w:szCs w:val="19"/>
        </w:rPr>
        <w:t xml:space="preserve">nonetheless </w:t>
      </w:r>
      <w:r w:rsidR="003F569F" w:rsidRPr="00C51ACB">
        <w:rPr>
          <w:rFonts w:ascii="Verdana" w:hAnsi="Verdana"/>
          <w:sz w:val="19"/>
          <w:szCs w:val="19"/>
        </w:rPr>
        <w:t xml:space="preserve">discussed </w:t>
      </w:r>
      <w:r w:rsidRPr="00C51ACB">
        <w:rPr>
          <w:rFonts w:ascii="Verdana" w:hAnsi="Verdana"/>
          <w:sz w:val="19"/>
          <w:szCs w:val="19"/>
        </w:rPr>
        <w:t>judicial decisions</w:t>
      </w:r>
      <w:r w:rsidR="00865989" w:rsidRPr="00C51ACB">
        <w:rPr>
          <w:rFonts w:ascii="Verdana" w:hAnsi="Verdana"/>
          <w:sz w:val="19"/>
          <w:szCs w:val="19"/>
        </w:rPr>
        <w:t xml:space="preserve"> at the domestic level </w:t>
      </w:r>
      <w:r w:rsidR="003F569F" w:rsidRPr="00C51ACB">
        <w:rPr>
          <w:rFonts w:ascii="Verdana" w:hAnsi="Verdana"/>
          <w:sz w:val="19"/>
          <w:szCs w:val="19"/>
        </w:rPr>
        <w:t xml:space="preserve">which </w:t>
      </w:r>
      <w:r w:rsidR="00865989" w:rsidRPr="00C51ACB">
        <w:rPr>
          <w:rFonts w:ascii="Verdana" w:hAnsi="Verdana"/>
          <w:sz w:val="19"/>
          <w:szCs w:val="19"/>
        </w:rPr>
        <w:t xml:space="preserve">apply a rights based approach to access to water and sanitation in public spaces, </w:t>
      </w:r>
      <w:r w:rsidR="003F569F" w:rsidRPr="00C51ACB">
        <w:rPr>
          <w:rFonts w:ascii="Verdana" w:hAnsi="Verdana"/>
          <w:sz w:val="19"/>
          <w:szCs w:val="19"/>
        </w:rPr>
        <w:t xml:space="preserve">and </w:t>
      </w:r>
      <w:r w:rsidR="00C233BD" w:rsidRPr="00C51ACB">
        <w:rPr>
          <w:rFonts w:ascii="Verdana" w:hAnsi="Verdana"/>
          <w:sz w:val="19"/>
          <w:szCs w:val="19"/>
        </w:rPr>
        <w:t xml:space="preserve">which </w:t>
      </w:r>
      <w:r w:rsidR="003F569F" w:rsidRPr="00C51ACB">
        <w:rPr>
          <w:rFonts w:ascii="Verdana" w:hAnsi="Verdana"/>
          <w:sz w:val="19"/>
          <w:szCs w:val="19"/>
        </w:rPr>
        <w:t xml:space="preserve">require the </w:t>
      </w:r>
      <w:r w:rsidR="00626BC7">
        <w:rPr>
          <w:rFonts w:ascii="Verdana" w:hAnsi="Verdana"/>
          <w:sz w:val="19"/>
          <w:szCs w:val="19"/>
        </w:rPr>
        <w:t>S</w:t>
      </w:r>
      <w:r w:rsidR="003F569F" w:rsidRPr="00C51ACB">
        <w:rPr>
          <w:rFonts w:ascii="Verdana" w:hAnsi="Verdana"/>
          <w:sz w:val="19"/>
          <w:szCs w:val="19"/>
        </w:rPr>
        <w:t>tate to construct sanitation facilities for</w:t>
      </w:r>
      <w:r w:rsidR="00865989" w:rsidRPr="00C51ACB">
        <w:rPr>
          <w:rFonts w:ascii="Verdana" w:hAnsi="Verdana"/>
          <w:sz w:val="19"/>
          <w:szCs w:val="19"/>
        </w:rPr>
        <w:t xml:space="preserve"> </w:t>
      </w:r>
      <w:r w:rsidR="003F569F" w:rsidRPr="00C51ACB">
        <w:rPr>
          <w:rFonts w:ascii="Verdana" w:hAnsi="Verdana"/>
          <w:sz w:val="19"/>
          <w:szCs w:val="19"/>
        </w:rPr>
        <w:t xml:space="preserve">transgender </w:t>
      </w:r>
      <w:r w:rsidR="00865989" w:rsidRPr="00C51ACB">
        <w:rPr>
          <w:rFonts w:ascii="Verdana" w:hAnsi="Verdana"/>
          <w:sz w:val="19"/>
          <w:szCs w:val="19"/>
        </w:rPr>
        <w:t>persons</w:t>
      </w:r>
      <w:r w:rsidR="003F569F" w:rsidRPr="00C51ACB">
        <w:rPr>
          <w:rFonts w:ascii="Verdana" w:hAnsi="Verdana"/>
          <w:sz w:val="19"/>
          <w:szCs w:val="19"/>
        </w:rPr>
        <w:t>.</w:t>
      </w:r>
      <w:r w:rsidR="005974CF" w:rsidRPr="00C51ACB">
        <w:rPr>
          <w:rFonts w:ascii="Verdana" w:hAnsi="Verdana"/>
          <w:sz w:val="19"/>
          <w:szCs w:val="19"/>
        </w:rPr>
        <w:t xml:space="preserve"> A brief summary of such decisions is provided.</w:t>
      </w:r>
    </w:p>
    <w:p w14:paraId="15D015EB" w14:textId="5DAB18D8" w:rsidR="003F569F" w:rsidRPr="00C51ACB" w:rsidRDefault="005974CF" w:rsidP="00C51ACB">
      <w:pPr>
        <w:pStyle w:val="ListParagraph"/>
        <w:numPr>
          <w:ilvl w:val="0"/>
          <w:numId w:val="32"/>
        </w:numPr>
        <w:spacing w:line="240" w:lineRule="auto"/>
        <w:rPr>
          <w:rFonts w:ascii="Verdana" w:hAnsi="Verdana"/>
          <w:sz w:val="19"/>
          <w:szCs w:val="19"/>
        </w:rPr>
      </w:pPr>
      <w:r w:rsidRPr="00C51ACB">
        <w:rPr>
          <w:rFonts w:ascii="Verdana" w:hAnsi="Verdana"/>
          <w:sz w:val="19"/>
          <w:szCs w:val="19"/>
        </w:rPr>
        <w:t>In</w:t>
      </w:r>
      <w:r w:rsidRPr="00C51ACB">
        <w:rPr>
          <w:rFonts w:ascii="Verdana" w:hAnsi="Verdana"/>
          <w:b/>
          <w:sz w:val="19"/>
          <w:szCs w:val="19"/>
        </w:rPr>
        <w:t xml:space="preserve"> Milun Suryajani v. Pune Municipal Corporation</w:t>
      </w:r>
      <w:r w:rsidRPr="00C51ACB">
        <w:rPr>
          <w:rFonts w:ascii="Verdana" w:hAnsi="Verdana"/>
          <w:sz w:val="19"/>
          <w:szCs w:val="19"/>
        </w:rPr>
        <w:t>, t</w:t>
      </w:r>
      <w:r w:rsidR="003F569F" w:rsidRPr="00C51ACB">
        <w:rPr>
          <w:rFonts w:ascii="Verdana" w:hAnsi="Verdana"/>
          <w:sz w:val="19"/>
          <w:szCs w:val="19"/>
        </w:rPr>
        <w:t>he High Court of Bombay</w:t>
      </w:r>
      <w:r w:rsidR="003F569F" w:rsidRPr="00C51ACB">
        <w:rPr>
          <w:rFonts w:ascii="Verdana" w:hAnsi="Verdana"/>
          <w:sz w:val="19"/>
          <w:szCs w:val="19"/>
          <w:vertAlign w:val="superscript"/>
        </w:rPr>
        <w:footnoteReference w:id="37"/>
      </w:r>
      <w:r w:rsidR="003F569F" w:rsidRPr="00C51ACB">
        <w:rPr>
          <w:rFonts w:ascii="Verdana" w:hAnsi="Verdana"/>
          <w:sz w:val="19"/>
          <w:szCs w:val="19"/>
        </w:rPr>
        <w:t xml:space="preserve"> directed the Pune Municipal Corporation to construct and maintain toilets for women in public areas, noting that they were essential for leading a life of dignity; the Court read together Article 21</w:t>
      </w:r>
      <w:r w:rsidR="00545B32" w:rsidRPr="00C51ACB">
        <w:rPr>
          <w:rStyle w:val="FootnoteReference"/>
          <w:rFonts w:ascii="Verdana" w:eastAsia="Garamond" w:hAnsi="Verdana"/>
          <w:sz w:val="19"/>
          <w:szCs w:val="19"/>
        </w:rPr>
        <w:footnoteReference w:id="38"/>
      </w:r>
      <w:r w:rsidR="003F569F" w:rsidRPr="00C51ACB">
        <w:rPr>
          <w:rFonts w:ascii="Verdana" w:hAnsi="Verdana"/>
          <w:sz w:val="19"/>
          <w:szCs w:val="19"/>
        </w:rPr>
        <w:t xml:space="preserve"> and Article 47</w:t>
      </w:r>
      <w:r w:rsidR="00545B32" w:rsidRPr="00C51ACB">
        <w:rPr>
          <w:rStyle w:val="FootnoteReference"/>
          <w:rFonts w:ascii="Verdana" w:eastAsia="Garamond" w:hAnsi="Verdana"/>
          <w:sz w:val="19"/>
          <w:szCs w:val="19"/>
        </w:rPr>
        <w:footnoteReference w:id="39"/>
      </w:r>
      <w:r w:rsidR="003F569F" w:rsidRPr="00C51ACB">
        <w:rPr>
          <w:rFonts w:ascii="Verdana" w:hAnsi="Verdana"/>
          <w:sz w:val="19"/>
          <w:szCs w:val="19"/>
        </w:rPr>
        <w:t xml:space="preserve"> (directive principle on improving public sanitation and health), to </w:t>
      </w:r>
      <w:r w:rsidR="00545B32" w:rsidRPr="00C51ACB">
        <w:rPr>
          <w:rFonts w:ascii="Verdana" w:hAnsi="Verdana"/>
          <w:sz w:val="19"/>
          <w:szCs w:val="19"/>
        </w:rPr>
        <w:t xml:space="preserve">recognize </w:t>
      </w:r>
      <w:r w:rsidR="003F569F" w:rsidRPr="00C51ACB">
        <w:rPr>
          <w:rFonts w:ascii="Verdana" w:hAnsi="Verdana"/>
          <w:sz w:val="19"/>
          <w:szCs w:val="19"/>
        </w:rPr>
        <w:t>and reiterate the positive obligation of the state to make available public toilets.</w:t>
      </w:r>
    </w:p>
    <w:p w14:paraId="3B5D620A" w14:textId="149899E7" w:rsidR="00ED280F" w:rsidRPr="00C51ACB" w:rsidRDefault="005974CF" w:rsidP="00C51ACB">
      <w:pPr>
        <w:pStyle w:val="ListParagraph"/>
        <w:numPr>
          <w:ilvl w:val="0"/>
          <w:numId w:val="32"/>
        </w:numPr>
        <w:spacing w:line="240" w:lineRule="auto"/>
        <w:rPr>
          <w:rFonts w:ascii="Verdana" w:eastAsia="Garamond" w:hAnsi="Verdana"/>
          <w:sz w:val="19"/>
          <w:szCs w:val="19"/>
        </w:rPr>
      </w:pPr>
      <w:r w:rsidRPr="00C51ACB">
        <w:rPr>
          <w:rFonts w:ascii="Verdana" w:hAnsi="Verdana"/>
          <w:sz w:val="19"/>
          <w:szCs w:val="19"/>
        </w:rPr>
        <w:t xml:space="preserve">In </w:t>
      </w:r>
      <w:r w:rsidR="00ED280F" w:rsidRPr="00C51ACB">
        <w:rPr>
          <w:rFonts w:ascii="Verdana" w:hAnsi="Verdana"/>
          <w:b/>
          <w:i/>
          <w:sz w:val="19"/>
          <w:szCs w:val="19"/>
        </w:rPr>
        <w:t>National Legal Services Authority v. Union of India</w:t>
      </w:r>
      <w:r w:rsidR="00ED280F" w:rsidRPr="00C51ACB">
        <w:rPr>
          <w:rFonts w:ascii="Verdana" w:hAnsi="Verdana"/>
          <w:b/>
          <w:sz w:val="19"/>
          <w:szCs w:val="19"/>
        </w:rPr>
        <w:t>,</w:t>
      </w:r>
      <w:r w:rsidR="00ED280F" w:rsidRPr="00C51ACB">
        <w:rPr>
          <w:rFonts w:ascii="Verdana" w:hAnsi="Verdana"/>
          <w:sz w:val="19"/>
          <w:szCs w:val="19"/>
        </w:rPr>
        <w:t xml:space="preserve"> </w:t>
      </w:r>
      <w:r w:rsidRPr="00C51ACB">
        <w:rPr>
          <w:rFonts w:ascii="Verdana" w:hAnsi="Verdana"/>
          <w:sz w:val="19"/>
          <w:szCs w:val="19"/>
        </w:rPr>
        <w:t xml:space="preserve">the Supreme Court of India </w:t>
      </w:r>
      <w:r w:rsidR="00ED280F" w:rsidRPr="00C51ACB">
        <w:rPr>
          <w:rFonts w:ascii="Verdana" w:hAnsi="Verdana"/>
          <w:sz w:val="19"/>
          <w:szCs w:val="19"/>
        </w:rPr>
        <w:t xml:space="preserve">recognized the challenges faced by transgender persons in accessing toilets. In this case, </w:t>
      </w:r>
      <w:r w:rsidR="00ED280F" w:rsidRPr="00C51ACB">
        <w:rPr>
          <w:rFonts w:ascii="Verdana" w:hAnsi="Verdana"/>
          <w:sz w:val="19"/>
          <w:szCs w:val="19"/>
        </w:rPr>
        <w:lastRenderedPageBreak/>
        <w:t xml:space="preserve">the </w:t>
      </w:r>
      <w:r w:rsidR="00ED280F" w:rsidRPr="00C51ACB">
        <w:rPr>
          <w:rFonts w:ascii="Verdana" w:eastAsia="Garamond" w:hAnsi="Verdana"/>
          <w:sz w:val="19"/>
          <w:szCs w:val="19"/>
        </w:rPr>
        <w:t xml:space="preserve">Court directed the Central and State governments </w:t>
      </w:r>
      <w:r w:rsidR="003F569F" w:rsidRPr="00C51ACB">
        <w:rPr>
          <w:rFonts w:ascii="Verdana" w:eastAsia="Garamond" w:hAnsi="Verdana"/>
          <w:sz w:val="19"/>
          <w:szCs w:val="19"/>
        </w:rPr>
        <w:t xml:space="preserve">to </w:t>
      </w:r>
      <w:r w:rsidR="00337B38" w:rsidRPr="00C51ACB">
        <w:rPr>
          <w:rFonts w:ascii="Verdana" w:eastAsia="Garamond" w:hAnsi="Verdana"/>
          <w:sz w:val="19"/>
          <w:szCs w:val="19"/>
        </w:rPr>
        <w:t>“take proper measures to provide medical care to [transgender persons] in the hospitals and also provide, them separate public toilets and other facilities”</w:t>
      </w:r>
      <w:r w:rsidR="00ED280F" w:rsidRPr="00C51ACB">
        <w:rPr>
          <w:rFonts w:ascii="Verdana" w:eastAsia="Garamond" w:hAnsi="Verdana"/>
          <w:sz w:val="19"/>
          <w:szCs w:val="19"/>
        </w:rPr>
        <w:t>.</w:t>
      </w:r>
      <w:r w:rsidR="00ED280F" w:rsidRPr="00C51ACB">
        <w:rPr>
          <w:rFonts w:ascii="Verdana" w:eastAsia="Garamond" w:hAnsi="Verdana"/>
          <w:sz w:val="19"/>
          <w:szCs w:val="19"/>
          <w:vertAlign w:val="superscript"/>
        </w:rPr>
        <w:footnoteReference w:id="40"/>
      </w:r>
      <w:r w:rsidR="00ED280F" w:rsidRPr="00C51ACB">
        <w:rPr>
          <w:rFonts w:ascii="Verdana" w:eastAsia="Garamond" w:hAnsi="Verdana"/>
          <w:sz w:val="19"/>
          <w:szCs w:val="19"/>
        </w:rPr>
        <w:t xml:space="preserve"> Following this case, a</w:t>
      </w:r>
      <w:r w:rsidR="003F569F" w:rsidRPr="00C51ACB">
        <w:rPr>
          <w:rFonts w:ascii="Verdana" w:eastAsia="Garamond" w:hAnsi="Verdana"/>
          <w:sz w:val="19"/>
          <w:szCs w:val="19"/>
        </w:rPr>
        <w:t xml:space="preserve"> </w:t>
      </w:r>
      <w:r w:rsidR="00ED280F" w:rsidRPr="00C51ACB">
        <w:rPr>
          <w:rFonts w:ascii="Verdana" w:eastAsia="Garamond" w:hAnsi="Verdana"/>
          <w:sz w:val="19"/>
          <w:szCs w:val="19"/>
        </w:rPr>
        <w:t xml:space="preserve">public interest litigation (PIL) </w:t>
      </w:r>
      <w:r w:rsidR="00626BC7">
        <w:rPr>
          <w:rFonts w:ascii="Verdana" w:eastAsia="Garamond" w:hAnsi="Verdana"/>
          <w:sz w:val="19"/>
          <w:szCs w:val="19"/>
        </w:rPr>
        <w:t xml:space="preserve">case </w:t>
      </w:r>
      <w:r w:rsidR="00ED280F" w:rsidRPr="00C51ACB">
        <w:rPr>
          <w:rFonts w:ascii="Verdana" w:eastAsia="Garamond" w:hAnsi="Verdana"/>
          <w:sz w:val="19"/>
          <w:szCs w:val="19"/>
        </w:rPr>
        <w:t xml:space="preserve">was filed before the Madras High Court to bring to its </w:t>
      </w:r>
      <w:r w:rsidRPr="00C51ACB">
        <w:rPr>
          <w:rFonts w:ascii="Verdana" w:eastAsia="Garamond" w:hAnsi="Verdana"/>
          <w:sz w:val="19"/>
          <w:szCs w:val="19"/>
        </w:rPr>
        <w:t xml:space="preserve">attention </w:t>
      </w:r>
      <w:r w:rsidR="00ED280F" w:rsidRPr="00C51ACB">
        <w:rPr>
          <w:rFonts w:ascii="Verdana" w:eastAsia="Garamond" w:hAnsi="Verdana"/>
          <w:sz w:val="19"/>
          <w:szCs w:val="19"/>
        </w:rPr>
        <w:t>the lack of toilets for transgender persons, especially in areas where they live in large numbers.</w:t>
      </w:r>
      <w:r w:rsidR="00ED280F" w:rsidRPr="00C51ACB">
        <w:rPr>
          <w:rFonts w:ascii="Verdana" w:hAnsi="Verdana"/>
          <w:sz w:val="19"/>
          <w:szCs w:val="19"/>
          <w:vertAlign w:val="superscript"/>
        </w:rPr>
        <w:footnoteReference w:id="41"/>
      </w:r>
      <w:r w:rsidR="00ED280F" w:rsidRPr="00C51ACB">
        <w:rPr>
          <w:rFonts w:ascii="Verdana" w:eastAsia="Garamond" w:hAnsi="Verdana"/>
          <w:sz w:val="19"/>
          <w:szCs w:val="19"/>
        </w:rPr>
        <w:t xml:space="preserve"> This case is currently </w:t>
      </w:r>
      <w:r w:rsidR="00626BC7">
        <w:rPr>
          <w:rFonts w:ascii="Verdana" w:eastAsia="Garamond" w:hAnsi="Verdana"/>
          <w:sz w:val="19"/>
          <w:szCs w:val="19"/>
        </w:rPr>
        <w:t>pending before the High Court</w:t>
      </w:r>
      <w:r w:rsidR="00ED280F" w:rsidRPr="00C51ACB">
        <w:rPr>
          <w:rFonts w:ascii="Verdana" w:eastAsia="Garamond" w:hAnsi="Verdana"/>
          <w:sz w:val="19"/>
          <w:szCs w:val="19"/>
        </w:rPr>
        <w:t xml:space="preserve">. </w:t>
      </w:r>
    </w:p>
    <w:p w14:paraId="3F9FBC2A" w14:textId="092CBB27" w:rsidR="00337B38" w:rsidRPr="00C51ACB" w:rsidRDefault="005974CF" w:rsidP="00C51ACB">
      <w:pPr>
        <w:pStyle w:val="ListParagraph"/>
        <w:numPr>
          <w:ilvl w:val="0"/>
          <w:numId w:val="32"/>
        </w:numPr>
        <w:spacing w:after="0" w:line="240" w:lineRule="auto"/>
        <w:rPr>
          <w:rFonts w:ascii="Verdana" w:eastAsia="Garamond" w:hAnsi="Verdana"/>
          <w:sz w:val="19"/>
          <w:szCs w:val="19"/>
          <w:lang w:val="en"/>
        </w:rPr>
      </w:pPr>
      <w:r w:rsidRPr="00C51ACB">
        <w:rPr>
          <w:rFonts w:ascii="Verdana" w:hAnsi="Verdana"/>
          <w:sz w:val="19"/>
          <w:szCs w:val="19"/>
        </w:rPr>
        <w:t>In</w:t>
      </w:r>
      <w:r w:rsidRPr="00C51ACB">
        <w:rPr>
          <w:rFonts w:ascii="Verdana" w:hAnsi="Verdana"/>
          <w:b/>
          <w:sz w:val="19"/>
          <w:szCs w:val="19"/>
        </w:rPr>
        <w:t xml:space="preserve"> </w:t>
      </w:r>
      <w:hyperlink r:id="rId13">
        <w:r w:rsidRPr="00C51ACB">
          <w:rPr>
            <w:rFonts w:ascii="Verdana" w:hAnsi="Verdana"/>
            <w:b/>
            <w:i/>
            <w:sz w:val="19"/>
            <w:szCs w:val="19"/>
          </w:rPr>
          <w:t>Vincent Panikulangara</w:t>
        </w:r>
        <w:r w:rsidRPr="00C51ACB">
          <w:rPr>
            <w:rFonts w:ascii="Verdana" w:hAnsi="Verdana"/>
            <w:b/>
            <w:sz w:val="19"/>
            <w:szCs w:val="19"/>
          </w:rPr>
          <w:t xml:space="preserve"> v. </w:t>
        </w:r>
        <w:r w:rsidRPr="00C51ACB">
          <w:rPr>
            <w:rFonts w:ascii="Verdana" w:hAnsi="Verdana"/>
            <w:b/>
            <w:i/>
            <w:sz w:val="19"/>
            <w:szCs w:val="19"/>
          </w:rPr>
          <w:t>Union of India</w:t>
        </w:r>
      </w:hyperlink>
      <w:r w:rsidRPr="00C51ACB">
        <w:rPr>
          <w:rFonts w:ascii="Verdana" w:hAnsi="Verdana"/>
          <w:sz w:val="19"/>
          <w:szCs w:val="19"/>
        </w:rPr>
        <w:t xml:space="preserve"> the Su</w:t>
      </w:r>
      <w:r w:rsidRPr="00C51ACB">
        <w:rPr>
          <w:rFonts w:ascii="Verdana" w:eastAsia="Garamond" w:hAnsi="Verdana"/>
          <w:sz w:val="19"/>
          <w:szCs w:val="19"/>
        </w:rPr>
        <w:t>preme Court held</w:t>
      </w:r>
      <w:r w:rsidRPr="00C51ACB">
        <w:rPr>
          <w:rFonts w:ascii="Verdana" w:hAnsi="Verdana"/>
          <w:sz w:val="19"/>
          <w:szCs w:val="19"/>
        </w:rPr>
        <w:t xml:space="preserve"> the State is obligated to create and sustain conditions congenial to good health of all</w:t>
      </w:r>
      <w:r w:rsidR="00337B38" w:rsidRPr="00C51ACB">
        <w:rPr>
          <w:rFonts w:ascii="Verdana" w:hAnsi="Verdana"/>
          <w:sz w:val="19"/>
          <w:szCs w:val="19"/>
        </w:rPr>
        <w:t xml:space="preserve"> as a com</w:t>
      </w:r>
      <w:r w:rsidR="00337B38" w:rsidRPr="00C51ACB">
        <w:rPr>
          <w:rFonts w:ascii="Verdana" w:eastAsia="Garamond" w:hAnsi="Verdana"/>
          <w:sz w:val="19"/>
          <w:szCs w:val="19"/>
        </w:rPr>
        <w:t>ponent of the right to life</w:t>
      </w:r>
      <w:r w:rsidRPr="00C51ACB">
        <w:rPr>
          <w:rFonts w:ascii="Verdana" w:hAnsi="Verdana"/>
          <w:sz w:val="19"/>
          <w:szCs w:val="19"/>
        </w:rPr>
        <w:t>.</w:t>
      </w:r>
      <w:r w:rsidRPr="00C51ACB">
        <w:rPr>
          <w:rFonts w:ascii="Verdana" w:hAnsi="Verdana"/>
          <w:sz w:val="19"/>
          <w:szCs w:val="19"/>
          <w:vertAlign w:val="superscript"/>
        </w:rPr>
        <w:footnoteReference w:id="42"/>
      </w:r>
      <w:r w:rsidRPr="00C51ACB">
        <w:rPr>
          <w:rFonts w:ascii="Verdana" w:hAnsi="Verdana"/>
          <w:sz w:val="19"/>
          <w:szCs w:val="19"/>
        </w:rPr>
        <w:t xml:space="preserve"> </w:t>
      </w:r>
      <w:r w:rsidR="00337B38" w:rsidRPr="00C51ACB">
        <w:rPr>
          <w:rFonts w:ascii="Verdana" w:hAnsi="Verdana"/>
          <w:sz w:val="19"/>
          <w:szCs w:val="19"/>
        </w:rPr>
        <w:t>T</w:t>
      </w:r>
      <w:r w:rsidR="00ED280F" w:rsidRPr="00C51ACB">
        <w:rPr>
          <w:rFonts w:ascii="Verdana" w:hAnsi="Verdana"/>
          <w:sz w:val="19"/>
          <w:szCs w:val="19"/>
        </w:rPr>
        <w:t xml:space="preserve">he unavailability and inaccessibility of public </w:t>
      </w:r>
      <w:r w:rsidR="00ED280F" w:rsidRPr="00C51ACB">
        <w:rPr>
          <w:rFonts w:ascii="Verdana" w:eastAsia="Garamond" w:hAnsi="Verdana"/>
          <w:sz w:val="19"/>
          <w:szCs w:val="19"/>
          <w:lang w:val="en"/>
        </w:rPr>
        <w:t>toilets</w:t>
      </w:r>
      <w:r w:rsidR="00337B38" w:rsidRPr="00C51ACB">
        <w:rPr>
          <w:rFonts w:ascii="Verdana" w:eastAsia="Garamond" w:hAnsi="Verdana"/>
          <w:sz w:val="19"/>
          <w:szCs w:val="19"/>
          <w:lang w:val="en"/>
        </w:rPr>
        <w:t xml:space="preserve"> clearly</w:t>
      </w:r>
      <w:r w:rsidR="00ED280F" w:rsidRPr="00C51ACB">
        <w:rPr>
          <w:rFonts w:ascii="Verdana" w:eastAsia="Garamond" w:hAnsi="Verdana"/>
          <w:sz w:val="19"/>
          <w:szCs w:val="19"/>
          <w:lang w:val="en"/>
        </w:rPr>
        <w:t xml:space="preserve"> deprives </w:t>
      </w:r>
      <w:r w:rsidR="003F569F" w:rsidRPr="00C51ACB">
        <w:rPr>
          <w:rFonts w:ascii="Verdana" w:eastAsia="Garamond" w:hAnsi="Verdana"/>
          <w:sz w:val="19"/>
          <w:szCs w:val="19"/>
          <w:lang w:val="en"/>
        </w:rPr>
        <w:t>individuals</w:t>
      </w:r>
      <w:r w:rsidR="00ED280F" w:rsidRPr="00C51ACB">
        <w:rPr>
          <w:rFonts w:ascii="Verdana" w:eastAsia="Garamond" w:hAnsi="Verdana"/>
          <w:sz w:val="19"/>
          <w:szCs w:val="19"/>
          <w:lang w:val="en"/>
        </w:rPr>
        <w:t xml:space="preserve"> of the</w:t>
      </w:r>
      <w:r w:rsidR="003F569F" w:rsidRPr="00C51ACB">
        <w:rPr>
          <w:rFonts w:ascii="Verdana" w:eastAsia="Garamond" w:hAnsi="Verdana"/>
          <w:sz w:val="19"/>
          <w:szCs w:val="19"/>
          <w:lang w:val="en"/>
        </w:rPr>
        <w:t>ir</w:t>
      </w:r>
      <w:r w:rsidR="00ED280F" w:rsidRPr="00C51ACB">
        <w:rPr>
          <w:rFonts w:ascii="Verdana" w:eastAsia="Garamond" w:hAnsi="Verdana"/>
          <w:sz w:val="19"/>
          <w:szCs w:val="19"/>
          <w:lang w:val="en"/>
        </w:rPr>
        <w:t xml:space="preserve"> right to health</w:t>
      </w:r>
      <w:r w:rsidR="00337B38" w:rsidRPr="00C51ACB">
        <w:rPr>
          <w:rFonts w:ascii="Verdana" w:eastAsia="Garamond" w:hAnsi="Verdana"/>
          <w:sz w:val="19"/>
          <w:szCs w:val="19"/>
          <w:lang w:val="en"/>
        </w:rPr>
        <w:t>.</w:t>
      </w:r>
    </w:p>
    <w:p w14:paraId="0442E5BA" w14:textId="30F3BD4F" w:rsidR="001947BE" w:rsidRPr="00C51ACB" w:rsidRDefault="00337B38" w:rsidP="00C51ACB">
      <w:pPr>
        <w:pStyle w:val="FootnoteText"/>
        <w:numPr>
          <w:ilvl w:val="0"/>
          <w:numId w:val="32"/>
        </w:numPr>
        <w:rPr>
          <w:rFonts w:ascii="Verdana" w:hAnsi="Verdana"/>
          <w:sz w:val="19"/>
          <w:szCs w:val="19"/>
        </w:rPr>
      </w:pPr>
      <w:r w:rsidRPr="00C51ACB">
        <w:rPr>
          <w:rFonts w:ascii="Verdana" w:eastAsia="Garamond" w:hAnsi="Verdana"/>
          <w:sz w:val="19"/>
          <w:szCs w:val="19"/>
        </w:rPr>
        <w:t>In</w:t>
      </w:r>
      <w:r w:rsidRPr="00C51ACB">
        <w:rPr>
          <w:rFonts w:ascii="Verdana" w:eastAsia="Garamond" w:hAnsi="Verdana"/>
          <w:b/>
          <w:sz w:val="19"/>
          <w:szCs w:val="19"/>
        </w:rPr>
        <w:t xml:space="preserve"> </w:t>
      </w:r>
      <w:r w:rsidRPr="00C51ACB">
        <w:rPr>
          <w:rFonts w:ascii="Verdana" w:eastAsia="Garamond" w:hAnsi="Verdana"/>
          <w:b/>
          <w:i/>
          <w:sz w:val="19"/>
          <w:szCs w:val="19"/>
        </w:rPr>
        <w:t>Navtej Singh Johar v. Union of India</w:t>
      </w:r>
      <w:r w:rsidRPr="00C51ACB">
        <w:rPr>
          <w:rFonts w:ascii="Verdana" w:eastAsia="Garamond" w:hAnsi="Verdana"/>
          <w:i/>
          <w:sz w:val="19"/>
          <w:szCs w:val="19"/>
        </w:rPr>
        <w:t>,</w:t>
      </w:r>
      <w:r w:rsidRPr="00C51ACB">
        <w:rPr>
          <w:rFonts w:ascii="Verdana" w:eastAsia="Garamond" w:hAnsi="Verdana"/>
          <w:sz w:val="19"/>
          <w:szCs w:val="19"/>
        </w:rPr>
        <w:t xml:space="preserve"> Supreme Court of India, ruled that the criminalization of consensual same-sex relationships under </w:t>
      </w:r>
      <w:r w:rsidR="00660A0E">
        <w:rPr>
          <w:rFonts w:ascii="Verdana" w:eastAsia="Garamond" w:hAnsi="Verdana"/>
          <w:sz w:val="19"/>
          <w:szCs w:val="19"/>
        </w:rPr>
        <w:t>s</w:t>
      </w:r>
      <w:r w:rsidR="006612B9">
        <w:rPr>
          <w:rFonts w:ascii="Verdana" w:eastAsia="Garamond" w:hAnsi="Verdana"/>
          <w:sz w:val="19"/>
          <w:szCs w:val="19"/>
        </w:rPr>
        <w:t>.</w:t>
      </w:r>
      <w:r w:rsidRPr="00C51ACB">
        <w:rPr>
          <w:rFonts w:ascii="Verdana" w:eastAsia="Garamond" w:hAnsi="Verdana"/>
          <w:sz w:val="19"/>
          <w:szCs w:val="19"/>
        </w:rPr>
        <w:t xml:space="preserve">377 of </w:t>
      </w:r>
      <w:r w:rsidR="002C3BA8">
        <w:rPr>
          <w:rFonts w:ascii="Verdana" w:eastAsia="Garamond" w:hAnsi="Verdana"/>
          <w:sz w:val="19"/>
          <w:szCs w:val="19"/>
        </w:rPr>
        <w:t>the Indian Penal Code</w:t>
      </w:r>
      <w:r w:rsidRPr="00C51ACB">
        <w:rPr>
          <w:rFonts w:ascii="Verdana" w:eastAsia="Garamond" w:hAnsi="Verdana"/>
          <w:sz w:val="19"/>
          <w:szCs w:val="19"/>
        </w:rPr>
        <w:t xml:space="preserve"> violates the Indian Constitution, and is in breach of India’s obligations under international law.</w:t>
      </w:r>
      <w:r w:rsidRPr="000F2E2F">
        <w:rPr>
          <w:rFonts w:eastAsia="Garamond"/>
          <w:sz w:val="19"/>
          <w:szCs w:val="19"/>
          <w:vertAlign w:val="superscript"/>
        </w:rPr>
        <w:footnoteReference w:id="43"/>
      </w:r>
      <w:r w:rsidRPr="00C51ACB">
        <w:rPr>
          <w:rFonts w:ascii="Verdana" w:eastAsia="Garamond" w:hAnsi="Verdana"/>
          <w:sz w:val="19"/>
          <w:szCs w:val="19"/>
        </w:rPr>
        <w:t xml:space="preserve"> In so doing it clearly acknowledged that the prohibition of non-discrimination in the Indian Constitution extends to LGBT</w:t>
      </w:r>
      <w:r w:rsidR="00A35450">
        <w:rPr>
          <w:rFonts w:ascii="Verdana" w:eastAsia="Garamond" w:hAnsi="Verdana"/>
          <w:sz w:val="19"/>
          <w:szCs w:val="19"/>
        </w:rPr>
        <w:t>Q</w:t>
      </w:r>
      <w:r w:rsidRPr="00C51ACB">
        <w:rPr>
          <w:rFonts w:ascii="Verdana" w:eastAsia="Garamond" w:hAnsi="Verdana"/>
          <w:sz w:val="19"/>
          <w:szCs w:val="19"/>
        </w:rPr>
        <w:t xml:space="preserve"> persons including transgender</w:t>
      </w:r>
      <w:r w:rsidR="00FF6CE1">
        <w:rPr>
          <w:rFonts w:ascii="Verdana" w:eastAsia="Garamond" w:hAnsi="Verdana"/>
          <w:sz w:val="19"/>
          <w:szCs w:val="19"/>
        </w:rPr>
        <w:t xml:space="preserve"> persons</w:t>
      </w:r>
      <w:r w:rsidR="006612B9">
        <w:rPr>
          <w:rFonts w:ascii="Verdana" w:eastAsia="Garamond" w:hAnsi="Verdana"/>
          <w:sz w:val="19"/>
          <w:szCs w:val="19"/>
        </w:rPr>
        <w:t xml:space="preserve"> </w:t>
      </w:r>
      <w:r w:rsidRPr="00C51ACB">
        <w:rPr>
          <w:rFonts w:ascii="Verdana" w:eastAsia="Garamond" w:hAnsi="Verdana"/>
          <w:sz w:val="19"/>
          <w:szCs w:val="19"/>
        </w:rPr>
        <w:t>and</w:t>
      </w:r>
      <w:r w:rsidR="00077D25">
        <w:rPr>
          <w:rFonts w:ascii="Verdana" w:eastAsia="Garamond" w:hAnsi="Verdana"/>
          <w:sz w:val="19"/>
          <w:szCs w:val="19"/>
        </w:rPr>
        <w:t xml:space="preserve"> non-binary persons</w:t>
      </w:r>
      <w:r w:rsidRPr="00C51ACB">
        <w:rPr>
          <w:rFonts w:ascii="Verdana" w:eastAsia="Garamond" w:hAnsi="Verdana"/>
          <w:sz w:val="19"/>
          <w:szCs w:val="19"/>
        </w:rPr>
        <w:t xml:space="preserve">. In coming to this conclusion the Court also found that </w:t>
      </w:r>
      <w:r w:rsidR="00660A0E">
        <w:rPr>
          <w:rFonts w:ascii="Verdana" w:eastAsia="Garamond" w:hAnsi="Verdana"/>
          <w:sz w:val="19"/>
          <w:szCs w:val="19"/>
        </w:rPr>
        <w:t>s</w:t>
      </w:r>
      <w:r w:rsidR="002050A4">
        <w:rPr>
          <w:rFonts w:ascii="Verdana" w:eastAsia="Garamond" w:hAnsi="Verdana"/>
          <w:sz w:val="19"/>
          <w:szCs w:val="19"/>
        </w:rPr>
        <w:t>.</w:t>
      </w:r>
      <w:r w:rsidR="006612B9">
        <w:rPr>
          <w:rFonts w:ascii="Verdana" w:eastAsia="Garamond" w:hAnsi="Verdana"/>
          <w:sz w:val="19"/>
          <w:szCs w:val="19"/>
        </w:rPr>
        <w:t xml:space="preserve"> </w:t>
      </w:r>
      <w:r w:rsidRPr="00C51ACB">
        <w:rPr>
          <w:rFonts w:ascii="Verdana" w:eastAsia="Garamond" w:hAnsi="Verdana"/>
          <w:sz w:val="19"/>
          <w:szCs w:val="19"/>
        </w:rPr>
        <w:t xml:space="preserve">377 </w:t>
      </w:r>
      <w:r w:rsidRPr="00C51ACB">
        <w:rPr>
          <w:rFonts w:ascii="Verdana" w:hAnsi="Verdana"/>
          <w:sz w:val="19"/>
          <w:szCs w:val="19"/>
        </w:rPr>
        <w:t xml:space="preserve">perpetuated stereotypes and homophobic attitudes </w:t>
      </w:r>
      <w:r w:rsidR="001947BE" w:rsidRPr="00C51ACB">
        <w:rPr>
          <w:rFonts w:ascii="Verdana" w:hAnsi="Verdana"/>
          <w:sz w:val="19"/>
          <w:szCs w:val="19"/>
        </w:rPr>
        <w:t xml:space="preserve">“making </w:t>
      </w:r>
      <w:r w:rsidR="006612B9">
        <w:rPr>
          <w:rFonts w:ascii="Verdana" w:hAnsi="Verdana"/>
          <w:sz w:val="19"/>
          <w:szCs w:val="19"/>
        </w:rPr>
        <w:t>it</w:t>
      </w:r>
      <w:r w:rsidR="001947BE" w:rsidRPr="00C51ACB">
        <w:rPr>
          <w:rFonts w:ascii="Verdana" w:hAnsi="Verdana"/>
          <w:sz w:val="19"/>
          <w:szCs w:val="19"/>
        </w:rPr>
        <w:t xml:space="preserve"> almost impossible for victims of abuse to acces</w:t>
      </w:r>
      <w:r w:rsidR="002050A4">
        <w:rPr>
          <w:rFonts w:ascii="Verdana" w:hAnsi="Verdana"/>
          <w:sz w:val="19"/>
          <w:szCs w:val="19"/>
        </w:rPr>
        <w:t>s</w:t>
      </w:r>
      <w:r w:rsidR="001947BE" w:rsidRPr="00C51ACB">
        <w:rPr>
          <w:rFonts w:ascii="Verdana" w:hAnsi="Verdana"/>
          <w:sz w:val="19"/>
          <w:szCs w:val="19"/>
        </w:rPr>
        <w:t xml:space="preserve"> justice”</w:t>
      </w:r>
      <w:r w:rsidR="006612B9">
        <w:rPr>
          <w:rStyle w:val="FootnoteReference"/>
          <w:rFonts w:ascii="Verdana" w:hAnsi="Verdana"/>
          <w:sz w:val="19"/>
          <w:szCs w:val="19"/>
        </w:rPr>
        <w:footnoteReference w:id="44"/>
      </w:r>
      <w:r w:rsidR="001947BE" w:rsidRPr="00C51ACB">
        <w:rPr>
          <w:rFonts w:ascii="Verdana" w:hAnsi="Verdana"/>
          <w:sz w:val="19"/>
          <w:szCs w:val="19"/>
        </w:rPr>
        <w:t>. It therefore concluded that:</w:t>
      </w:r>
    </w:p>
    <w:p w14:paraId="31098F00" w14:textId="06C259F8" w:rsidR="004A6851" w:rsidRPr="00C51ACB" w:rsidRDefault="001947BE" w:rsidP="000F2E2F">
      <w:pPr>
        <w:pStyle w:val="FootnoteText"/>
        <w:ind w:left="1080"/>
        <w:rPr>
          <w:rFonts w:ascii="Verdana" w:hAnsi="Verdana"/>
          <w:sz w:val="19"/>
          <w:szCs w:val="19"/>
        </w:rPr>
      </w:pPr>
      <w:r w:rsidRPr="00C51ACB">
        <w:rPr>
          <w:rFonts w:ascii="Verdana" w:hAnsi="Verdana"/>
          <w:sz w:val="19"/>
          <w:szCs w:val="19"/>
        </w:rPr>
        <w:t>“</w:t>
      </w:r>
      <w:r w:rsidR="00337B38" w:rsidRPr="00C51ACB">
        <w:rPr>
          <w:rFonts w:ascii="Verdana" w:hAnsi="Verdana"/>
          <w:sz w:val="19"/>
          <w:szCs w:val="19"/>
        </w:rPr>
        <w:t xml:space="preserve"> the social effects of such a provision</w:t>
      </w:r>
      <w:r w:rsidRPr="00C51ACB">
        <w:rPr>
          <w:rFonts w:ascii="Verdana" w:hAnsi="Verdana"/>
          <w:sz w:val="19"/>
          <w:szCs w:val="19"/>
        </w:rPr>
        <w:t xml:space="preserve"> … is to </w:t>
      </w:r>
      <w:r w:rsidR="00337B38" w:rsidRPr="00C51ACB">
        <w:rPr>
          <w:rFonts w:ascii="Verdana" w:hAnsi="Verdana"/>
          <w:sz w:val="19"/>
          <w:szCs w:val="19"/>
        </w:rPr>
        <w:t xml:space="preserve">sanction verbal harassment, familial fear, </w:t>
      </w:r>
      <w:r w:rsidR="00337B38" w:rsidRPr="00C51ACB">
        <w:rPr>
          <w:rFonts w:ascii="Verdana" w:hAnsi="Verdana"/>
          <w:i/>
          <w:sz w:val="19"/>
          <w:szCs w:val="19"/>
        </w:rPr>
        <w:t>restricted</w:t>
      </w:r>
      <w:r w:rsidRPr="00C51ACB">
        <w:rPr>
          <w:rFonts w:ascii="Verdana" w:hAnsi="Verdana"/>
          <w:i/>
          <w:sz w:val="19"/>
          <w:szCs w:val="19"/>
        </w:rPr>
        <w:t xml:space="preserve"> </w:t>
      </w:r>
      <w:r w:rsidR="00337B38" w:rsidRPr="00C51ACB">
        <w:rPr>
          <w:rFonts w:ascii="Verdana" w:hAnsi="Verdana"/>
          <w:i/>
          <w:sz w:val="19"/>
          <w:szCs w:val="19"/>
        </w:rPr>
        <w:t>access to public spaces and the lack of safe spaces</w:t>
      </w:r>
      <w:r w:rsidRPr="00C51ACB">
        <w:rPr>
          <w:rFonts w:ascii="Verdana" w:hAnsi="Verdana"/>
          <w:i/>
          <w:sz w:val="19"/>
          <w:szCs w:val="19"/>
        </w:rPr>
        <w:t xml:space="preserve"> </w:t>
      </w:r>
      <w:r w:rsidRPr="00C51ACB">
        <w:rPr>
          <w:rFonts w:ascii="Verdana" w:hAnsi="Verdana"/>
          <w:sz w:val="19"/>
          <w:szCs w:val="19"/>
        </w:rPr>
        <w:t xml:space="preserve">[against </w:t>
      </w:r>
      <w:r w:rsidR="00886F3E" w:rsidRPr="00C51ACB">
        <w:rPr>
          <w:rFonts w:ascii="Verdana" w:hAnsi="Verdana"/>
          <w:sz w:val="19"/>
          <w:szCs w:val="19"/>
        </w:rPr>
        <w:t>LGBT</w:t>
      </w:r>
      <w:r w:rsidR="00A35450">
        <w:rPr>
          <w:rFonts w:ascii="Verdana" w:hAnsi="Verdana"/>
          <w:sz w:val="19"/>
          <w:szCs w:val="19"/>
        </w:rPr>
        <w:t>Q</w:t>
      </w:r>
      <w:r w:rsidR="00886F3E" w:rsidRPr="00C51ACB">
        <w:rPr>
          <w:rFonts w:ascii="Verdana" w:hAnsi="Verdana"/>
          <w:sz w:val="19"/>
          <w:szCs w:val="19"/>
        </w:rPr>
        <w:t xml:space="preserve"> </w:t>
      </w:r>
      <w:r w:rsidRPr="00C51ACB">
        <w:rPr>
          <w:rFonts w:ascii="Verdana" w:hAnsi="Verdana"/>
          <w:sz w:val="19"/>
          <w:szCs w:val="19"/>
        </w:rPr>
        <w:t>persons]</w:t>
      </w:r>
      <w:r w:rsidR="00337B38" w:rsidRPr="00C51ACB">
        <w:rPr>
          <w:rFonts w:ascii="Verdana" w:hAnsi="Verdana"/>
          <w:sz w:val="19"/>
          <w:szCs w:val="19"/>
        </w:rPr>
        <w:t>. This results in a denial of</w:t>
      </w:r>
      <w:r w:rsidRPr="00C51ACB">
        <w:rPr>
          <w:rFonts w:ascii="Verdana" w:hAnsi="Verdana"/>
          <w:sz w:val="19"/>
          <w:szCs w:val="19"/>
        </w:rPr>
        <w:t xml:space="preserve"> </w:t>
      </w:r>
      <w:r w:rsidR="00337B38" w:rsidRPr="00C51ACB">
        <w:rPr>
          <w:rFonts w:ascii="Verdana" w:hAnsi="Verdana"/>
          <w:sz w:val="19"/>
          <w:szCs w:val="19"/>
        </w:rPr>
        <w:t>the self. Identities are obliterated, denying the entitlement to equal</w:t>
      </w:r>
      <w:r w:rsidRPr="00C51ACB">
        <w:rPr>
          <w:rFonts w:ascii="Verdana" w:hAnsi="Verdana"/>
          <w:sz w:val="19"/>
          <w:szCs w:val="19"/>
        </w:rPr>
        <w:t xml:space="preserve"> </w:t>
      </w:r>
      <w:r w:rsidR="00337B38" w:rsidRPr="00C51ACB">
        <w:rPr>
          <w:rFonts w:ascii="Verdana" w:hAnsi="Verdana"/>
          <w:sz w:val="19"/>
          <w:szCs w:val="19"/>
        </w:rPr>
        <w:t>participation and dignity under the Constitution. Section 377 deprives them of</w:t>
      </w:r>
      <w:r w:rsidRPr="00C51ACB">
        <w:rPr>
          <w:rFonts w:ascii="Verdana" w:hAnsi="Verdana"/>
          <w:sz w:val="19"/>
          <w:szCs w:val="19"/>
        </w:rPr>
        <w:t xml:space="preserve"> </w:t>
      </w:r>
      <w:r w:rsidR="00337B38" w:rsidRPr="00C51ACB">
        <w:rPr>
          <w:rFonts w:ascii="Verdana" w:hAnsi="Verdana"/>
          <w:sz w:val="19"/>
          <w:szCs w:val="19"/>
        </w:rPr>
        <w:t>an equal citizenship</w:t>
      </w:r>
      <w:r w:rsidRPr="00C51ACB">
        <w:rPr>
          <w:rFonts w:ascii="Verdana" w:hAnsi="Verdana"/>
          <w:sz w:val="19"/>
          <w:szCs w:val="19"/>
        </w:rPr>
        <w:t>.”</w:t>
      </w:r>
      <w:r w:rsidRPr="00C51ACB">
        <w:rPr>
          <w:rStyle w:val="FootnoteReference"/>
          <w:rFonts w:ascii="Verdana" w:hAnsi="Verdana"/>
          <w:sz w:val="19"/>
          <w:szCs w:val="19"/>
        </w:rPr>
        <w:footnoteReference w:id="45"/>
      </w:r>
      <w:bookmarkStart w:id="2" w:name="_Hlk535497323"/>
      <w:bookmarkEnd w:id="2"/>
    </w:p>
    <w:sectPr w:rsidR="004A6851" w:rsidRPr="00C51ACB" w:rsidSect="000B2152">
      <w:footerReference w:type="even" r:id="rId14"/>
      <w:footerReference w:type="default" r:id="rId15"/>
      <w:pgSz w:w="12240" w:h="15840"/>
      <w:pgMar w:top="1440" w:right="1440" w:bottom="1440" w:left="1440" w:header="720" w:footer="720" w:gutter="0"/>
      <w:pgNumType w:start="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9E334B" w15:done="0"/>
  <w15:commentEx w15:paraId="0EE1C22F" w15:done="0"/>
  <w15:commentEx w15:paraId="00E2AF07" w15:done="0"/>
  <w15:commentEx w15:paraId="607E42F9" w15:done="0"/>
  <w15:commentEx w15:paraId="4AAF7B3E" w15:paraIdParent="607E42F9" w15:done="0"/>
  <w15:commentEx w15:paraId="6227A634" w15:done="0"/>
  <w15:commentEx w15:paraId="3DF80FF3" w15:done="0"/>
  <w15:commentEx w15:paraId="7696C305" w15:paraIdParent="3DF80FF3" w15:done="0"/>
  <w15:commentEx w15:paraId="331A18A7" w15:done="0"/>
  <w15:commentEx w15:paraId="3FAE8226" w15:done="0"/>
  <w15:commentEx w15:paraId="576FDA7D" w15:paraIdParent="3FAE8226" w15:done="0"/>
  <w15:commentEx w15:paraId="16D0F0C3" w15:done="0"/>
  <w15:commentEx w15:paraId="11996039" w15:paraIdParent="16D0F0C3" w15:done="0"/>
  <w15:commentEx w15:paraId="77FBEA00" w15:done="0"/>
  <w15:commentEx w15:paraId="05A2CC5B" w15:done="0"/>
  <w15:commentEx w15:paraId="40E6EA9C" w15:done="0"/>
  <w15:commentEx w15:paraId="32C6B0C5" w15:paraIdParent="40E6EA9C" w15:done="0"/>
  <w15:commentEx w15:paraId="06963456" w15:done="0"/>
  <w15:commentEx w15:paraId="2C3798D2" w15:done="0"/>
  <w15:commentEx w15:paraId="7A1FED37" w15:paraIdParent="2C3798D2" w15:done="0"/>
  <w15:commentEx w15:paraId="2D3DCC45" w15:done="0"/>
  <w15:commentEx w15:paraId="63626976" w15:paraIdParent="2D3DCC45" w15:done="0"/>
  <w15:commentEx w15:paraId="1A55E7B3" w15:done="0"/>
  <w15:commentEx w15:paraId="3C2D2BEA" w15:paraIdParent="1A55E7B3" w15:done="0"/>
  <w15:commentEx w15:paraId="29AB48BA" w15:done="0"/>
  <w15:commentEx w15:paraId="3E7DE83C" w15:done="0"/>
  <w15:commentEx w15:paraId="7A1F4B07" w15:paraIdParent="3E7DE83C" w15:done="0"/>
  <w15:commentEx w15:paraId="37036790" w15:done="0"/>
  <w15:commentEx w15:paraId="34B76AFA" w15:paraIdParent="37036790" w15:done="0"/>
  <w15:commentEx w15:paraId="43C03DFE" w15:done="0"/>
  <w15:commentEx w15:paraId="74C96374" w15:done="0"/>
  <w15:commentEx w15:paraId="116EADC6" w15:paraIdParent="74C9637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9E334B" w16cid:durableId="20222067"/>
  <w16cid:commentId w16cid:paraId="0EE1C22F" w16cid:durableId="20221FA7"/>
  <w16cid:commentId w16cid:paraId="00E2AF07" w16cid:durableId="20222172"/>
  <w16cid:commentId w16cid:paraId="607E42F9" w16cid:durableId="20221FA8"/>
  <w16cid:commentId w16cid:paraId="4AAF7B3E" w16cid:durableId="2022305E"/>
  <w16cid:commentId w16cid:paraId="6227A634" w16cid:durableId="20223634"/>
  <w16cid:commentId w16cid:paraId="3DF80FF3" w16cid:durableId="20221FA9"/>
  <w16cid:commentId w16cid:paraId="7696C305" w16cid:durableId="202226E0"/>
  <w16cid:commentId w16cid:paraId="331A18A7" w16cid:durableId="20221FAA"/>
  <w16cid:commentId w16cid:paraId="3FAE8226" w16cid:durableId="20221FAB"/>
  <w16cid:commentId w16cid:paraId="576FDA7D" w16cid:durableId="2022307D"/>
  <w16cid:commentId w16cid:paraId="16D0F0C3" w16cid:durableId="20221FAC"/>
  <w16cid:commentId w16cid:paraId="11996039" w16cid:durableId="20222B68"/>
  <w16cid:commentId w16cid:paraId="77FBEA00" w16cid:durableId="20221FAD"/>
  <w16cid:commentId w16cid:paraId="05A2CC5B" w16cid:durableId="20222C21"/>
  <w16cid:commentId w16cid:paraId="40E6EA9C" w16cid:durableId="20221FAE"/>
  <w16cid:commentId w16cid:paraId="32C6B0C5" w16cid:durableId="20222D1A"/>
  <w16cid:commentId w16cid:paraId="06963456" w16cid:durableId="20222D10"/>
  <w16cid:commentId w16cid:paraId="2C3798D2" w16cid:durableId="20221FAF"/>
  <w16cid:commentId w16cid:paraId="7A1FED37" w16cid:durableId="20223559"/>
  <w16cid:commentId w16cid:paraId="2D3DCC45" w16cid:durableId="20221FB0"/>
  <w16cid:commentId w16cid:paraId="63626976" w16cid:durableId="20223105"/>
  <w16cid:commentId w16cid:paraId="1A55E7B3" w16cid:durableId="20221FB1"/>
  <w16cid:commentId w16cid:paraId="3C2D2BEA" w16cid:durableId="2022301B"/>
  <w16cid:commentId w16cid:paraId="29AB48BA" w16cid:durableId="20223112"/>
  <w16cid:commentId w16cid:paraId="3E7DE83C" w16cid:durableId="20221FB2"/>
  <w16cid:commentId w16cid:paraId="7A1F4B07" w16cid:durableId="20222F50"/>
  <w16cid:commentId w16cid:paraId="37036790" w16cid:durableId="20221FB3"/>
  <w16cid:commentId w16cid:paraId="34B76AFA" w16cid:durableId="20222F4B"/>
  <w16cid:commentId w16cid:paraId="43C03DFE" w16cid:durableId="20221FB4"/>
  <w16cid:commentId w16cid:paraId="74C96374" w16cid:durableId="20221FB5"/>
  <w16cid:commentId w16cid:paraId="116EADC6" w16cid:durableId="20222F10"/>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0BEC2D" w14:textId="77777777" w:rsidR="005A0237" w:rsidRDefault="005A0237" w:rsidP="0061748C">
      <w:pPr>
        <w:spacing w:after="0" w:line="240" w:lineRule="auto"/>
      </w:pPr>
      <w:r>
        <w:separator/>
      </w:r>
    </w:p>
    <w:p w14:paraId="3D7051A4" w14:textId="77777777" w:rsidR="005A0237" w:rsidRDefault="005A0237"/>
  </w:endnote>
  <w:endnote w:type="continuationSeparator" w:id="0">
    <w:p w14:paraId="1BA40648" w14:textId="77777777" w:rsidR="005A0237" w:rsidRDefault="005A0237" w:rsidP="0061748C">
      <w:pPr>
        <w:spacing w:after="0" w:line="240" w:lineRule="auto"/>
      </w:pPr>
      <w:r>
        <w:continuationSeparator/>
      </w:r>
    </w:p>
    <w:p w14:paraId="7E91B9A4" w14:textId="77777777" w:rsidR="005A0237" w:rsidRDefault="005A02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 w:name="Garamond">
    <w:panose1 w:val="02020404030301010803"/>
    <w:charset w:val="00"/>
    <w:family w:val="auto"/>
    <w:pitch w:val="variable"/>
    <w:sig w:usb0="00000003" w:usb1="00000000" w:usb2="00000000" w:usb3="00000000" w:csb0="00000001" w:csb1="00000000"/>
  </w:font>
  <w:font w:name="Segoe UI">
    <w:altName w:val="Calibri"/>
    <w:charset w:val="00"/>
    <w:family w:val="swiss"/>
    <w:pitch w:val="variable"/>
    <w:sig w:usb0="E4002EFF" w:usb1="C000E47F" w:usb2="00000009" w:usb3="00000000" w:csb0="000001FF"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178E8" w14:textId="77777777" w:rsidR="005A0237" w:rsidRDefault="005A0237" w:rsidP="000875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CB5F3D" w14:textId="77777777" w:rsidR="005A0237" w:rsidRDefault="005A0237" w:rsidP="003317C2">
    <w:pPr>
      <w:pStyle w:val="Footer"/>
      <w:ind w:right="360"/>
    </w:pPr>
  </w:p>
  <w:p w14:paraId="76B4CCCC" w14:textId="77777777" w:rsidR="005A0237" w:rsidRDefault="005A0237"/>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48B57" w14:textId="77777777" w:rsidR="000B2152" w:rsidRDefault="000B2152" w:rsidP="000875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E0182">
      <w:rPr>
        <w:rStyle w:val="PageNumber"/>
        <w:noProof/>
      </w:rPr>
      <w:t>10</w:t>
    </w:r>
    <w:r>
      <w:rPr>
        <w:rStyle w:val="PageNumber"/>
      </w:rPr>
      <w:fldChar w:fldCharType="end"/>
    </w:r>
  </w:p>
  <w:p w14:paraId="608D3BFD" w14:textId="7AE276D9" w:rsidR="005A0237" w:rsidRDefault="005A0237" w:rsidP="000B2152">
    <w:pPr>
      <w:pStyle w:val="Footer"/>
      <w:ind w:right="360"/>
      <w:jc w:val="center"/>
    </w:pPr>
  </w:p>
  <w:p w14:paraId="7E1B29AE" w14:textId="77777777" w:rsidR="005A0237" w:rsidRDefault="005A0237" w:rsidP="00B013DD">
    <w:pPr>
      <w:pStyle w:val="Footer"/>
      <w:ind w:right="360"/>
    </w:pPr>
  </w:p>
  <w:p w14:paraId="3E7AE841" w14:textId="77777777" w:rsidR="005A0237" w:rsidRDefault="005A0237"/>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5F6D3F" w14:textId="77777777" w:rsidR="005A0237" w:rsidRDefault="005A0237" w:rsidP="0061748C">
      <w:pPr>
        <w:spacing w:after="0" w:line="240" w:lineRule="auto"/>
      </w:pPr>
      <w:r>
        <w:separator/>
      </w:r>
    </w:p>
    <w:p w14:paraId="04EEDA24" w14:textId="77777777" w:rsidR="005A0237" w:rsidRDefault="005A0237"/>
  </w:footnote>
  <w:footnote w:type="continuationSeparator" w:id="0">
    <w:p w14:paraId="7A16B9E8" w14:textId="77777777" w:rsidR="005A0237" w:rsidRDefault="005A0237" w:rsidP="0061748C">
      <w:pPr>
        <w:spacing w:after="0" w:line="240" w:lineRule="auto"/>
      </w:pPr>
      <w:r>
        <w:continuationSeparator/>
      </w:r>
    </w:p>
    <w:p w14:paraId="54E6E447" w14:textId="77777777" w:rsidR="005A0237" w:rsidRDefault="005A0237"/>
  </w:footnote>
  <w:footnote w:id="1">
    <w:p w14:paraId="45DFAAA1" w14:textId="295C9E53" w:rsidR="005A0237" w:rsidRPr="000F2E2F" w:rsidRDefault="005A0237" w:rsidP="000F2E2F">
      <w:pPr>
        <w:pStyle w:val="NormalWeb"/>
        <w:spacing w:before="0" w:beforeAutospacing="0" w:after="0" w:afterAutospacing="0"/>
        <w:rPr>
          <w:rFonts w:eastAsiaTheme="minorHAnsi"/>
          <w:sz w:val="20"/>
          <w:szCs w:val="20"/>
        </w:rPr>
      </w:pPr>
      <w:r w:rsidRPr="000F2E2F">
        <w:rPr>
          <w:rStyle w:val="FootnoteReference"/>
          <w:rFonts w:ascii="Verdana" w:hAnsi="Verdana"/>
          <w:sz w:val="17"/>
          <w:szCs w:val="17"/>
        </w:rPr>
        <w:footnoteRef/>
      </w:r>
      <w:r w:rsidRPr="000F2E2F">
        <w:rPr>
          <w:rFonts w:ascii="Verdana" w:hAnsi="Verdana"/>
          <w:sz w:val="17"/>
          <w:szCs w:val="17"/>
        </w:rPr>
        <w:t xml:space="preserve"> </w:t>
      </w:r>
      <w:r w:rsidRPr="008344E6">
        <w:rPr>
          <w:rFonts w:ascii="Verdana" w:hAnsi="Verdana"/>
          <w:sz w:val="17"/>
          <w:szCs w:val="17"/>
        </w:rPr>
        <w:t>T</w:t>
      </w:r>
      <w:r w:rsidRPr="000F2E2F">
        <w:rPr>
          <w:rFonts w:ascii="Verdana" w:hAnsi="Verdana"/>
          <w:sz w:val="17"/>
          <w:szCs w:val="17"/>
        </w:rPr>
        <w:t>he term “LGBTQ” refer</w:t>
      </w:r>
      <w:r w:rsidRPr="008344E6">
        <w:rPr>
          <w:rFonts w:ascii="Verdana" w:hAnsi="Verdana"/>
          <w:sz w:val="17"/>
          <w:szCs w:val="17"/>
        </w:rPr>
        <w:t>s</w:t>
      </w:r>
      <w:r w:rsidRPr="000F2E2F">
        <w:rPr>
          <w:rFonts w:ascii="Verdana" w:hAnsi="Verdana"/>
          <w:sz w:val="17"/>
          <w:szCs w:val="17"/>
        </w:rPr>
        <w:t xml:space="preserve"> to any individual who identifies with a non-normative sexual</w:t>
      </w:r>
      <w:r w:rsidRPr="008344E6">
        <w:rPr>
          <w:rFonts w:ascii="Verdana" w:hAnsi="Verdana"/>
          <w:sz w:val="17"/>
          <w:szCs w:val="17"/>
        </w:rPr>
        <w:t xml:space="preserve"> orientation</w:t>
      </w:r>
      <w:r w:rsidRPr="000F2E2F">
        <w:rPr>
          <w:rFonts w:ascii="Verdana" w:hAnsi="Verdana"/>
          <w:sz w:val="17"/>
          <w:szCs w:val="17"/>
        </w:rPr>
        <w:t xml:space="preserve"> or gender identity. </w:t>
      </w:r>
      <w:r w:rsidRPr="000F2E2F">
        <w:rPr>
          <w:rFonts w:ascii="Verdana" w:eastAsiaTheme="minorHAnsi" w:hAnsi="Verdana"/>
          <w:sz w:val="17"/>
          <w:szCs w:val="17"/>
        </w:rPr>
        <w:t>It includes individuals who identify as lesbian, gay, bisexual, transgender, intersex and gender-queer, and also encompasses persons who may not fit into any of these identity categories. “Queer” should be read to include other people who face human rights violations on the basis of their actual or perceived sexual orientation, gender identity and/or expression and sex characteristics, including those who may identify with terms other than “queer”.</w:t>
      </w:r>
      <w:r w:rsidRPr="008344E6">
        <w:rPr>
          <w:rFonts w:ascii="Verdana" w:eastAsiaTheme="minorHAnsi" w:hAnsi="Verdana"/>
          <w:sz w:val="20"/>
          <w:szCs w:val="20"/>
        </w:rPr>
        <w:t xml:space="preserve"> </w:t>
      </w:r>
    </w:p>
  </w:footnote>
  <w:footnote w:id="2">
    <w:p w14:paraId="0F352C9E" w14:textId="37C43B40" w:rsidR="005A0237" w:rsidRPr="0094765A" w:rsidRDefault="005A0237" w:rsidP="00964461">
      <w:pPr>
        <w:pStyle w:val="FootnoteText"/>
        <w:rPr>
          <w:rFonts w:ascii="Verdana" w:hAnsi="Verdana"/>
          <w:sz w:val="17"/>
          <w:szCs w:val="17"/>
          <w:lang w:val="en-US"/>
        </w:rPr>
      </w:pPr>
      <w:r w:rsidRPr="0094765A">
        <w:rPr>
          <w:rStyle w:val="FootnoteReference"/>
          <w:rFonts w:ascii="Verdana" w:hAnsi="Verdana"/>
          <w:sz w:val="17"/>
          <w:szCs w:val="17"/>
        </w:rPr>
        <w:footnoteRef/>
      </w:r>
      <w:r w:rsidRPr="0094765A">
        <w:rPr>
          <w:rFonts w:ascii="Verdana" w:hAnsi="Verdana"/>
          <w:sz w:val="17"/>
          <w:szCs w:val="17"/>
        </w:rPr>
        <w:t xml:space="preserve"> “Non-binary persons”, sometimes also referred to as gender non-conforming </w:t>
      </w:r>
      <w:r>
        <w:rPr>
          <w:rFonts w:ascii="Verdana" w:hAnsi="Verdana"/>
          <w:sz w:val="17"/>
          <w:szCs w:val="17"/>
        </w:rPr>
        <w:t>individuals</w:t>
      </w:r>
      <w:r w:rsidRPr="0094765A">
        <w:rPr>
          <w:rFonts w:ascii="Verdana" w:hAnsi="Verdana"/>
          <w:sz w:val="17"/>
          <w:szCs w:val="17"/>
        </w:rPr>
        <w:t xml:space="preserve">, are </w:t>
      </w:r>
      <w:r>
        <w:rPr>
          <w:rFonts w:ascii="Verdana" w:hAnsi="Verdana"/>
          <w:sz w:val="17"/>
          <w:szCs w:val="17"/>
        </w:rPr>
        <w:t>people</w:t>
      </w:r>
      <w:r w:rsidRPr="0094765A">
        <w:rPr>
          <w:rFonts w:ascii="Verdana" w:hAnsi="Verdana"/>
          <w:sz w:val="17"/>
          <w:szCs w:val="17"/>
        </w:rPr>
        <w:t xml:space="preserve"> </w:t>
      </w:r>
      <w:r w:rsidRPr="0094765A">
        <w:rPr>
          <w:rFonts w:ascii="Verdana" w:hAnsi="Verdana" w:cs="Arial"/>
          <w:sz w:val="17"/>
          <w:szCs w:val="17"/>
          <w:lang w:val="en-US"/>
        </w:rPr>
        <w:t xml:space="preserve">who have a gender identity or gender expression that does not subscribe to </w:t>
      </w:r>
      <w:r>
        <w:rPr>
          <w:rFonts w:ascii="Verdana" w:hAnsi="Verdana" w:cs="Arial"/>
          <w:sz w:val="17"/>
          <w:szCs w:val="17"/>
          <w:lang w:val="en-US"/>
        </w:rPr>
        <w:t>the binary male or female gender</w:t>
      </w:r>
      <w:r w:rsidRPr="0094765A">
        <w:rPr>
          <w:rFonts w:ascii="Verdana" w:hAnsi="Verdana" w:cs="Arial"/>
          <w:sz w:val="17"/>
          <w:szCs w:val="17"/>
          <w:lang w:val="en-US"/>
        </w:rPr>
        <w:t>.</w:t>
      </w:r>
    </w:p>
  </w:footnote>
  <w:footnote w:id="3">
    <w:p w14:paraId="27D48D6F" w14:textId="3FC70C48" w:rsidR="005A0237" w:rsidRPr="00C51ACB" w:rsidRDefault="005A0237" w:rsidP="00964461">
      <w:pPr>
        <w:pStyle w:val="FootnoteText"/>
        <w:rPr>
          <w:rFonts w:ascii="Verdana" w:hAnsi="Verdana"/>
          <w:sz w:val="17"/>
          <w:szCs w:val="17"/>
          <w:lang w:val="en-US"/>
        </w:rPr>
      </w:pPr>
      <w:r w:rsidRPr="0094765A">
        <w:rPr>
          <w:rStyle w:val="FootnoteReference"/>
          <w:rFonts w:ascii="Verdana" w:hAnsi="Verdana"/>
          <w:sz w:val="17"/>
          <w:szCs w:val="17"/>
        </w:rPr>
        <w:footnoteRef/>
      </w:r>
      <w:r w:rsidRPr="0094765A">
        <w:rPr>
          <w:rFonts w:ascii="Verdana" w:hAnsi="Verdana"/>
          <w:sz w:val="17"/>
          <w:szCs w:val="17"/>
        </w:rPr>
        <w:t xml:space="preserve"> Section 6, Right to Information Act, 2005. </w:t>
      </w:r>
    </w:p>
  </w:footnote>
  <w:footnote w:id="4">
    <w:p w14:paraId="3B7A9A3B" w14:textId="1DBB665F" w:rsidR="005A0237" w:rsidRPr="0094765A" w:rsidRDefault="005A0237" w:rsidP="00964461">
      <w:pPr>
        <w:pStyle w:val="FootnoteText"/>
        <w:rPr>
          <w:rFonts w:ascii="Verdana" w:hAnsi="Verdana" w:cs="Arial"/>
          <w:sz w:val="17"/>
          <w:szCs w:val="17"/>
          <w:lang w:val="en-US"/>
        </w:rPr>
      </w:pPr>
      <w:r w:rsidRPr="0094765A">
        <w:rPr>
          <w:rStyle w:val="FootnoteReference"/>
          <w:rFonts w:ascii="Verdana" w:hAnsi="Verdana" w:cs="Arial"/>
          <w:sz w:val="17"/>
          <w:szCs w:val="17"/>
        </w:rPr>
        <w:footnoteRef/>
      </w:r>
      <w:r w:rsidRPr="0094765A">
        <w:rPr>
          <w:rFonts w:ascii="Verdana" w:hAnsi="Verdana" w:cs="Arial"/>
          <w:sz w:val="17"/>
          <w:szCs w:val="17"/>
        </w:rPr>
        <w:t xml:space="preserve"> International Commission of Jurists, </w:t>
      </w:r>
      <w:r w:rsidRPr="00C51ACB">
        <w:rPr>
          <w:rFonts w:ascii="Verdana" w:hAnsi="Verdana" w:cs="Arial"/>
          <w:i/>
          <w:sz w:val="17"/>
          <w:szCs w:val="17"/>
          <w:lang w:val="en-US"/>
        </w:rPr>
        <w:t>“Unnatural Offences” Obstacles to Justice in India Based on Sexual Orientation and Gender Identity</w:t>
      </w:r>
      <w:r w:rsidRPr="0094765A">
        <w:rPr>
          <w:rFonts w:ascii="Verdana" w:hAnsi="Verdana" w:cs="Arial"/>
          <w:sz w:val="17"/>
          <w:szCs w:val="17"/>
          <w:lang w:val="en-US"/>
        </w:rPr>
        <w:t xml:space="preserve"> (2017). </w:t>
      </w:r>
      <w:hyperlink r:id="rId1" w:history="1">
        <w:r w:rsidRPr="0094765A">
          <w:rPr>
            <w:rStyle w:val="Hyperlink"/>
            <w:rFonts w:ascii="Verdana" w:hAnsi="Verdana" w:cs="Arial"/>
            <w:sz w:val="17"/>
            <w:szCs w:val="17"/>
            <w:lang w:val="en-US"/>
          </w:rPr>
          <w:t>https://www.icj.org/wp-content/uploads/2017/02/India-SOGI-report-Publications-Reports-Thematic-report-2017-ENG.pdf</w:t>
        </w:r>
      </w:hyperlink>
      <w:r w:rsidRPr="0094765A">
        <w:rPr>
          <w:rFonts w:ascii="Verdana" w:hAnsi="Verdana" w:cs="Arial"/>
          <w:sz w:val="17"/>
          <w:szCs w:val="17"/>
          <w:lang w:val="en-US"/>
        </w:rPr>
        <w:t xml:space="preserve"> (Accessed on 26 February 2019).</w:t>
      </w:r>
    </w:p>
  </w:footnote>
  <w:footnote w:id="5">
    <w:p w14:paraId="279538B7" w14:textId="277ACAC7" w:rsidR="005A0237" w:rsidRPr="0094765A" w:rsidRDefault="005A0237" w:rsidP="00964461">
      <w:pPr>
        <w:pStyle w:val="FootnoteText"/>
        <w:rPr>
          <w:rFonts w:ascii="Verdana" w:hAnsi="Verdana" w:cs="Arial"/>
          <w:sz w:val="17"/>
          <w:szCs w:val="17"/>
          <w:lang w:val="en-US"/>
        </w:rPr>
      </w:pPr>
      <w:r w:rsidRPr="0094765A">
        <w:rPr>
          <w:rStyle w:val="FootnoteReference"/>
          <w:rFonts w:ascii="Verdana" w:hAnsi="Verdana" w:cs="Arial"/>
          <w:sz w:val="17"/>
          <w:szCs w:val="17"/>
        </w:rPr>
        <w:footnoteRef/>
      </w:r>
      <w:r w:rsidRPr="0094765A">
        <w:rPr>
          <w:rFonts w:ascii="Verdana" w:hAnsi="Verdana" w:cs="Arial"/>
          <w:sz w:val="17"/>
          <w:szCs w:val="17"/>
        </w:rPr>
        <w:t xml:space="preserve"> </w:t>
      </w:r>
      <w:r w:rsidRPr="0094765A">
        <w:rPr>
          <w:rFonts w:ascii="Verdana" w:hAnsi="Verdana" w:cs="Arial"/>
          <w:i/>
          <w:sz w:val="17"/>
          <w:szCs w:val="17"/>
        </w:rPr>
        <w:t>Navtej Singh Johar v. Union of India</w:t>
      </w:r>
      <w:r w:rsidRPr="0094765A">
        <w:rPr>
          <w:rFonts w:ascii="Verdana" w:hAnsi="Verdana" w:cs="Arial"/>
          <w:sz w:val="17"/>
          <w:szCs w:val="17"/>
        </w:rPr>
        <w:t xml:space="preserve">, Supreme Court of India, (2018)10SCC1, (Navtej Johar) paras 109 to 111. The Supreme Court </w:t>
      </w:r>
      <w:r w:rsidRPr="0094765A">
        <w:rPr>
          <w:rFonts w:ascii="Verdana" w:hAnsi="Verdana" w:cs="Arial"/>
          <w:sz w:val="17"/>
          <w:szCs w:val="17"/>
          <w:lang w:val="en-US"/>
        </w:rPr>
        <w:t>ruled that the criminalization of consensual same-sex relationships under Section 377 violates the Indian Constitution, and is in breach of India’s obligations under international law.</w:t>
      </w:r>
    </w:p>
  </w:footnote>
  <w:footnote w:id="6">
    <w:p w14:paraId="0A230E5B" w14:textId="3CF9AE7D" w:rsidR="005A0237" w:rsidRPr="0094765A" w:rsidRDefault="005A0237" w:rsidP="00964461">
      <w:pPr>
        <w:spacing w:after="0" w:line="240" w:lineRule="auto"/>
        <w:rPr>
          <w:rFonts w:ascii="Verdana" w:hAnsi="Verdana"/>
          <w:sz w:val="17"/>
          <w:szCs w:val="17"/>
        </w:rPr>
      </w:pPr>
      <w:r w:rsidRPr="0094765A">
        <w:rPr>
          <w:rStyle w:val="FootnoteReference"/>
          <w:rFonts w:ascii="Verdana" w:hAnsi="Verdana" w:cs="Arial"/>
          <w:sz w:val="17"/>
          <w:szCs w:val="17"/>
        </w:rPr>
        <w:footnoteRef/>
      </w:r>
      <w:r w:rsidRPr="0094765A">
        <w:rPr>
          <w:rFonts w:ascii="Verdana" w:hAnsi="Verdana" w:cs="Arial"/>
          <w:sz w:val="17"/>
          <w:szCs w:val="17"/>
        </w:rPr>
        <w:t xml:space="preserve"> Indian Penal Code, 1860, section. 377 reads, “</w:t>
      </w:r>
      <w:r w:rsidRPr="0094765A">
        <w:rPr>
          <w:rFonts w:ascii="Verdana" w:eastAsia="Times New Roman" w:hAnsi="Verdana" w:cs="Times New Roman"/>
          <w:color w:val="000000"/>
          <w:sz w:val="17"/>
          <w:szCs w:val="17"/>
          <w:shd w:val="clear" w:color="auto" w:fill="FFFFFF"/>
        </w:rPr>
        <w:t>Unnatural offences.—Whoever voluntarily has carnal inter</w:t>
      </w:r>
      <w:r w:rsidRPr="0094765A">
        <w:rPr>
          <w:rFonts w:ascii="Verdana" w:eastAsia="Times New Roman" w:hAnsi="Verdana" w:cs="Times New Roman"/>
          <w:color w:val="000000"/>
          <w:sz w:val="17"/>
          <w:szCs w:val="17"/>
          <w:shd w:val="clear" w:color="auto" w:fill="FFFFFF"/>
        </w:rPr>
        <w:softHyphen/>
        <w:t>course against the order of nature with any man, woman or animal, shall be punished with imprisonment for life, or with impris</w:t>
      </w:r>
      <w:r w:rsidRPr="0094765A">
        <w:rPr>
          <w:rFonts w:ascii="Verdana" w:eastAsia="Times New Roman" w:hAnsi="Verdana" w:cs="Times New Roman"/>
          <w:color w:val="000000"/>
          <w:sz w:val="17"/>
          <w:szCs w:val="17"/>
          <w:shd w:val="clear" w:color="auto" w:fill="FFFFFF"/>
        </w:rPr>
        <w:softHyphen/>
        <w:t>onment of either description for a term which may extend to ten years, and shall also be liable to fine. Explanation.—Penetration is sufficient to constitute the carnal intercourse necessary to the offence described in this section.”</w:t>
      </w:r>
    </w:p>
  </w:footnote>
  <w:footnote w:id="7">
    <w:p w14:paraId="028699B4" w14:textId="4DF3D39D" w:rsidR="005A0237" w:rsidRPr="00C51ACB" w:rsidRDefault="005A0237" w:rsidP="00964461">
      <w:pPr>
        <w:spacing w:after="0" w:line="240" w:lineRule="auto"/>
        <w:rPr>
          <w:rFonts w:ascii="Verdana" w:hAnsi="Verdana"/>
          <w:sz w:val="17"/>
          <w:szCs w:val="17"/>
        </w:rPr>
      </w:pPr>
      <w:r w:rsidRPr="0094765A">
        <w:rPr>
          <w:rStyle w:val="FootnoteReference"/>
          <w:rFonts w:ascii="Verdana" w:hAnsi="Verdana"/>
          <w:sz w:val="17"/>
          <w:szCs w:val="17"/>
        </w:rPr>
        <w:footnoteRef/>
      </w:r>
      <w:r w:rsidRPr="0094765A">
        <w:rPr>
          <w:rFonts w:ascii="Verdana" w:hAnsi="Verdana"/>
          <w:sz w:val="17"/>
          <w:szCs w:val="17"/>
        </w:rPr>
        <w:t xml:space="preserve"> This research drawn on in this submission is based on 65 qualitative interviews conducted with LGBT</w:t>
      </w:r>
      <w:r>
        <w:rPr>
          <w:rFonts w:ascii="Verdana" w:hAnsi="Verdana"/>
          <w:sz w:val="17"/>
          <w:szCs w:val="17"/>
        </w:rPr>
        <w:t>Q</w:t>
      </w:r>
      <w:r w:rsidRPr="0094765A">
        <w:rPr>
          <w:rFonts w:ascii="Verdana" w:hAnsi="Verdana"/>
          <w:sz w:val="17"/>
          <w:szCs w:val="17"/>
        </w:rPr>
        <w:t xml:space="preserve"> persons, activists, and lawyers from six states: Delhi, Gujarat, Manipur, Tamil Nadu, Kerala and Karnataka, as well as 67 Right to Information applications filed with various state departments to obtain information relating to: a) implementation of state level schemes formulated for the welfare of transgender persons, b) reservations for transgender persons in public institutions, c) government-run shelter homes for transgender persons, d) availability and accessibility of toilets for transgender persons in public transport, and e) legal gender recognition for transgender persons. The ICJ has also relied on secondary research and literature </w:t>
      </w:r>
      <w:r>
        <w:rPr>
          <w:rFonts w:ascii="Verdana" w:hAnsi="Verdana"/>
          <w:sz w:val="17"/>
          <w:szCs w:val="17"/>
        </w:rPr>
        <w:t xml:space="preserve">focused on </w:t>
      </w:r>
      <w:r w:rsidRPr="0094765A">
        <w:rPr>
          <w:rFonts w:ascii="Verdana" w:hAnsi="Verdana"/>
          <w:sz w:val="17"/>
          <w:szCs w:val="17"/>
        </w:rPr>
        <w:t xml:space="preserve">these and other states. In this submission, the names of the interviewees have been withheld to maintain confidentiality.  The research </w:t>
      </w:r>
      <w:r>
        <w:rPr>
          <w:rFonts w:ascii="Verdana" w:hAnsi="Verdana"/>
          <w:sz w:val="17"/>
          <w:szCs w:val="17"/>
        </w:rPr>
        <w:t xml:space="preserve">findings outlined in </w:t>
      </w:r>
      <w:r w:rsidRPr="0094765A">
        <w:rPr>
          <w:rFonts w:ascii="Verdana" w:hAnsi="Verdana"/>
          <w:sz w:val="17"/>
          <w:szCs w:val="17"/>
        </w:rPr>
        <w:t xml:space="preserve">this submission will be </w:t>
      </w:r>
      <w:r w:rsidRPr="0094765A">
        <w:rPr>
          <w:rFonts w:ascii="Verdana" w:eastAsia="Times New Roman" w:hAnsi="Verdana" w:cs="Times New Roman"/>
          <w:color w:val="000000"/>
          <w:sz w:val="17"/>
          <w:szCs w:val="17"/>
          <w:shd w:val="clear" w:color="auto" w:fill="FFFFFF"/>
        </w:rPr>
        <w:t>published by the ICJ later in 2019.</w:t>
      </w:r>
    </w:p>
  </w:footnote>
  <w:footnote w:id="8">
    <w:p w14:paraId="062B2BAE" w14:textId="3D21EE9B" w:rsidR="005A0237" w:rsidRPr="000F2E2F" w:rsidRDefault="005A0237">
      <w:pPr>
        <w:pStyle w:val="FootnoteText"/>
        <w:rPr>
          <w:rFonts w:ascii="Verdana" w:hAnsi="Verdana" w:cs="Arial"/>
          <w:sz w:val="17"/>
          <w:szCs w:val="17"/>
          <w:lang w:val="en-US"/>
        </w:rPr>
      </w:pPr>
      <w:r w:rsidRPr="000F2E2F">
        <w:rPr>
          <w:rStyle w:val="FootnoteReference"/>
          <w:rFonts w:ascii="Verdana" w:hAnsi="Verdana" w:cs="Arial"/>
          <w:sz w:val="17"/>
          <w:szCs w:val="17"/>
        </w:rPr>
        <w:footnoteRef/>
      </w:r>
      <w:r w:rsidRPr="000F2E2F">
        <w:rPr>
          <w:rFonts w:ascii="Verdana" w:hAnsi="Verdana" w:cs="Arial"/>
          <w:sz w:val="17"/>
          <w:szCs w:val="17"/>
        </w:rPr>
        <w:t xml:space="preserve"> </w:t>
      </w:r>
      <w:r w:rsidRPr="000F2E2F">
        <w:rPr>
          <w:rFonts w:ascii="Verdana" w:hAnsi="Verdana" w:cs="Arial"/>
          <w:sz w:val="17"/>
          <w:szCs w:val="17"/>
          <w:lang w:val="en-US"/>
        </w:rPr>
        <w:t>“</w:t>
      </w:r>
      <w:r w:rsidRPr="000F2E2F">
        <w:rPr>
          <w:rFonts w:ascii="Verdana" w:hAnsi="Verdana" w:cs="Arial"/>
          <w:i/>
          <w:sz w:val="17"/>
          <w:szCs w:val="17"/>
          <w:lang w:val="en-US"/>
        </w:rPr>
        <w:t>Ghat</w:t>
      </w:r>
      <w:r w:rsidRPr="000F2E2F">
        <w:rPr>
          <w:rFonts w:ascii="Verdana" w:hAnsi="Verdana" w:cs="Arial"/>
          <w:sz w:val="17"/>
          <w:szCs w:val="17"/>
          <w:lang w:val="en-US"/>
        </w:rPr>
        <w:t xml:space="preserve">” refers to a series of steps leading down to a body of water. Bathing </w:t>
      </w:r>
      <w:r w:rsidRPr="000F2E2F">
        <w:rPr>
          <w:rFonts w:ascii="Verdana" w:hAnsi="Verdana" w:cs="Arial"/>
          <w:i/>
          <w:sz w:val="17"/>
          <w:szCs w:val="17"/>
          <w:lang w:val="en-US"/>
        </w:rPr>
        <w:t xml:space="preserve">ghats </w:t>
      </w:r>
      <w:r w:rsidRPr="000F2E2F">
        <w:rPr>
          <w:rFonts w:ascii="Verdana" w:hAnsi="Verdana" w:cs="Arial"/>
          <w:sz w:val="17"/>
          <w:szCs w:val="17"/>
          <w:lang w:val="en-US"/>
        </w:rPr>
        <w:t xml:space="preserve">are common areas used for bathing. </w:t>
      </w:r>
    </w:p>
  </w:footnote>
  <w:footnote w:id="9">
    <w:p w14:paraId="1889011A" w14:textId="3A70CBF9" w:rsidR="005A0237" w:rsidRPr="0094765A" w:rsidRDefault="005A0237" w:rsidP="00964461">
      <w:pPr>
        <w:pStyle w:val="FootnoteText"/>
        <w:rPr>
          <w:rFonts w:ascii="Verdana" w:hAnsi="Verdana" w:cs="Arial"/>
          <w:sz w:val="17"/>
          <w:szCs w:val="17"/>
          <w:lang w:val="en-US"/>
        </w:rPr>
      </w:pPr>
      <w:r w:rsidRPr="0094765A">
        <w:rPr>
          <w:rStyle w:val="FootnoteReference"/>
          <w:rFonts w:ascii="Verdana" w:hAnsi="Verdana" w:cs="Arial"/>
          <w:sz w:val="17"/>
          <w:szCs w:val="17"/>
        </w:rPr>
        <w:footnoteRef/>
      </w:r>
      <w:r w:rsidRPr="0094765A">
        <w:rPr>
          <w:rFonts w:ascii="Verdana" w:hAnsi="Verdana" w:cs="Arial"/>
          <w:sz w:val="17"/>
          <w:szCs w:val="17"/>
        </w:rPr>
        <w:t xml:space="preserve"> </w:t>
      </w:r>
      <w:r w:rsidRPr="0094765A">
        <w:rPr>
          <w:rFonts w:ascii="Verdana" w:hAnsi="Verdana" w:cs="Arial"/>
          <w:sz w:val="17"/>
          <w:szCs w:val="17"/>
          <w:lang w:val="en-US"/>
        </w:rPr>
        <w:t xml:space="preserve">Constitution of India, 1950, article 15(2) states, “No citizen shall, on grounds only of religion, race, caste, sex, place of birth or any of them, be subject to any disability, liability, restriction or condition with regard to (a) access to shops, public restaurants, hotels and palaces of public entertainment; or (b) the use of wells, tanks, bathing ghats, roads and places of public resort maintained wholly or partly out of State funds or dedicated to the use of the general public.” Supreme Court of India, </w:t>
      </w:r>
      <w:r w:rsidRPr="00C51ACB">
        <w:rPr>
          <w:rFonts w:ascii="Verdana" w:hAnsi="Verdana" w:cs="Arial"/>
          <w:i/>
          <w:sz w:val="17"/>
          <w:szCs w:val="17"/>
          <w:lang w:val="en-US"/>
        </w:rPr>
        <w:t>Indian Medical Association v. Union of India</w:t>
      </w:r>
      <w:r w:rsidRPr="0094765A">
        <w:rPr>
          <w:rFonts w:ascii="Verdana" w:hAnsi="Verdana" w:cs="Arial"/>
          <w:sz w:val="17"/>
          <w:szCs w:val="17"/>
          <w:lang w:val="en-US"/>
        </w:rPr>
        <w:t xml:space="preserve">, (2011)7SCC179, para 113, states that public spaces that are privately owned </w:t>
      </w:r>
      <w:r w:rsidRPr="0094765A">
        <w:rPr>
          <w:rFonts w:ascii="Verdana" w:hAnsi="Verdana" w:cs="Arial"/>
          <w:sz w:val="17"/>
          <w:szCs w:val="17"/>
        </w:rPr>
        <w:t>but are intended to be open for use by the general public “</w:t>
      </w:r>
      <w:r w:rsidRPr="0094765A">
        <w:rPr>
          <w:rFonts w:ascii="Verdana" w:hAnsi="Verdana" w:cs="Arial"/>
          <w:sz w:val="17"/>
          <w:szCs w:val="17"/>
          <w:lang w:val="en-US"/>
        </w:rPr>
        <w:t xml:space="preserve">ought not to be conducting their affairs in a manner which promote existing discriminations and disadvantages.” </w:t>
      </w:r>
    </w:p>
  </w:footnote>
  <w:footnote w:id="10">
    <w:p w14:paraId="2CAAD57D" w14:textId="08FAEC72" w:rsidR="005A0237" w:rsidRPr="0094765A" w:rsidRDefault="005A0237" w:rsidP="00964461">
      <w:pPr>
        <w:spacing w:after="0" w:line="240" w:lineRule="auto"/>
        <w:rPr>
          <w:rFonts w:ascii="Verdana" w:hAnsi="Verdana" w:cs="Arial"/>
          <w:sz w:val="17"/>
          <w:szCs w:val="17"/>
        </w:rPr>
      </w:pPr>
      <w:r w:rsidRPr="0094765A">
        <w:rPr>
          <w:rFonts w:ascii="Verdana" w:hAnsi="Verdana" w:cs="Arial"/>
          <w:sz w:val="17"/>
          <w:szCs w:val="17"/>
          <w:vertAlign w:val="superscript"/>
        </w:rPr>
        <w:footnoteRef/>
      </w:r>
      <w:r w:rsidRPr="0094765A">
        <w:rPr>
          <w:rFonts w:ascii="Verdana" w:hAnsi="Verdana" w:cs="Arial"/>
          <w:sz w:val="17"/>
          <w:szCs w:val="17"/>
        </w:rPr>
        <w:t xml:space="preserve"> </w:t>
      </w:r>
      <w:r w:rsidRPr="00C51ACB">
        <w:rPr>
          <w:rFonts w:ascii="Verdana" w:hAnsi="Verdana" w:cs="Arial"/>
          <w:i/>
          <w:sz w:val="17"/>
          <w:szCs w:val="17"/>
        </w:rPr>
        <w:t>National Legal Services Authority v. Union of India</w:t>
      </w:r>
      <w:r w:rsidRPr="0094765A">
        <w:rPr>
          <w:rFonts w:ascii="Verdana" w:hAnsi="Verdana" w:cs="Arial"/>
          <w:sz w:val="17"/>
          <w:szCs w:val="17"/>
        </w:rPr>
        <w:t xml:space="preserve">, </w:t>
      </w:r>
      <w:r>
        <w:rPr>
          <w:rFonts w:ascii="Verdana" w:hAnsi="Verdana" w:cs="Arial"/>
          <w:sz w:val="17"/>
          <w:szCs w:val="17"/>
        </w:rPr>
        <w:t>Supreme Court of India</w:t>
      </w:r>
      <w:r w:rsidRPr="0094765A">
        <w:rPr>
          <w:rFonts w:ascii="Verdana" w:hAnsi="Verdana" w:cs="Arial"/>
          <w:sz w:val="17"/>
          <w:szCs w:val="17"/>
        </w:rPr>
        <w:t xml:space="preserve"> </w:t>
      </w:r>
      <w:r>
        <w:rPr>
          <w:rFonts w:ascii="Verdana" w:hAnsi="Verdana" w:cs="Arial"/>
          <w:sz w:val="17"/>
          <w:szCs w:val="17"/>
        </w:rPr>
        <w:t>(</w:t>
      </w:r>
      <w:r w:rsidRPr="0094765A">
        <w:rPr>
          <w:rFonts w:ascii="Verdana" w:hAnsi="Verdana" w:cs="Arial"/>
          <w:sz w:val="17"/>
          <w:szCs w:val="17"/>
        </w:rPr>
        <w:t>2014</w:t>
      </w:r>
      <w:r>
        <w:rPr>
          <w:rFonts w:ascii="Verdana" w:hAnsi="Verdana" w:cs="Arial"/>
          <w:sz w:val="17"/>
          <w:szCs w:val="17"/>
        </w:rPr>
        <w:t>),</w:t>
      </w:r>
      <w:r w:rsidRPr="0094765A">
        <w:rPr>
          <w:rFonts w:ascii="Verdana" w:hAnsi="Verdana" w:cs="Arial"/>
          <w:sz w:val="17"/>
          <w:szCs w:val="17"/>
        </w:rPr>
        <w:t xml:space="preserve"> 5 SCC 438, (NALSA) para 66 states, “Articles 15 and 16 sought to prohibit discrimination on the basis of sex, recognizing that sex discrimination is a historical fact and needs to be addressed. Constitution makers, it can be gathered, gave emphasis to the fundamental right against sex discrimination so as to prevent the direct or indirect attitude to treat people differently, for the reason of not being in conformity with stereotypical generalizations of binary genders. Both gender and biological attributes constitute distinct components of sex. Biological characteristics, of course, include genitals, chromosomes and secondary sexual features, but gender attributes include one's self image, the deep psychological or emotional sense of sexual identity and character. The discrimination on the ground of 'sex' Under Articles 15 and 16, therefore, includes discrimination on the ground of gender identity.”</w:t>
      </w:r>
    </w:p>
  </w:footnote>
  <w:footnote w:id="11">
    <w:p w14:paraId="30CCF128" w14:textId="50FDBAAE" w:rsidR="005A0237" w:rsidRPr="0094765A" w:rsidRDefault="005A0237" w:rsidP="00964461">
      <w:pPr>
        <w:spacing w:after="0" w:line="240" w:lineRule="auto"/>
        <w:rPr>
          <w:rFonts w:ascii="Verdana" w:hAnsi="Verdana" w:cs="Arial"/>
          <w:sz w:val="17"/>
          <w:szCs w:val="17"/>
        </w:rPr>
      </w:pPr>
      <w:r w:rsidRPr="0094765A">
        <w:rPr>
          <w:rFonts w:ascii="Verdana" w:hAnsi="Verdana" w:cs="Arial"/>
          <w:sz w:val="17"/>
          <w:szCs w:val="17"/>
          <w:vertAlign w:val="superscript"/>
        </w:rPr>
        <w:footnoteRef/>
      </w:r>
      <w:r w:rsidRPr="0094765A">
        <w:rPr>
          <w:rFonts w:ascii="Verdana" w:hAnsi="Verdana" w:cs="Arial"/>
          <w:sz w:val="17"/>
          <w:szCs w:val="17"/>
        </w:rPr>
        <w:t xml:space="preserve"> </w:t>
      </w:r>
      <w:r w:rsidRPr="00C51ACB">
        <w:rPr>
          <w:rFonts w:ascii="Verdana" w:hAnsi="Verdana" w:cs="Arial"/>
          <w:i/>
          <w:sz w:val="17"/>
          <w:szCs w:val="17"/>
        </w:rPr>
        <w:t>Navtej Johar</w:t>
      </w:r>
      <w:r w:rsidRPr="0094765A">
        <w:rPr>
          <w:rFonts w:ascii="Verdana" w:hAnsi="Verdana" w:cs="Arial"/>
          <w:sz w:val="17"/>
          <w:szCs w:val="17"/>
        </w:rPr>
        <w:t xml:space="preserve">, para 393 states, “A provision challenged as being ultra vires the prohibition of discrimination on the grounds only of sex Under Article 15(1) is to be assessed not by the objects of the state in enacting it, but by the effect that the provision has on affected individuals and on their fundamental rights. Any ground of discrimination, direct or indirect, which is founded on a particular understanding of the role of the sex, would not be distinguishable from the discrimination which is prohibited by Article 15 on the grounds only of sex;” </w:t>
      </w:r>
      <w:r w:rsidRPr="00C51ACB">
        <w:rPr>
          <w:rFonts w:ascii="Verdana" w:hAnsi="Verdana" w:cs="Arial"/>
          <w:i/>
          <w:sz w:val="17"/>
          <w:szCs w:val="17"/>
        </w:rPr>
        <w:t>K.S. Puttaswamy v. Union of India,</w:t>
      </w:r>
      <w:r w:rsidRPr="0094765A">
        <w:rPr>
          <w:rFonts w:ascii="Verdana" w:hAnsi="Verdana" w:cs="Arial"/>
          <w:sz w:val="17"/>
          <w:szCs w:val="17"/>
        </w:rPr>
        <w:t xml:space="preserve"> Supreme Court of India</w:t>
      </w:r>
      <w:r w:rsidRPr="00E035B0">
        <w:rPr>
          <w:rFonts w:ascii="Verdana" w:hAnsi="Verdana" w:cs="Arial"/>
          <w:i/>
          <w:sz w:val="17"/>
          <w:szCs w:val="17"/>
        </w:rPr>
        <w:t xml:space="preserve">, </w:t>
      </w:r>
      <w:r w:rsidRPr="0094765A">
        <w:rPr>
          <w:rFonts w:ascii="Verdana" w:hAnsi="Verdana" w:cs="Arial"/>
          <w:sz w:val="17"/>
          <w:szCs w:val="17"/>
        </w:rPr>
        <w:t>(2017)10SCC1, para 126 states, “…Sexual orientation is an essential attribute of privacy. Discrimination against an individual on the basis of sexual orientation is deeply offensive to the dignity and self-worth of the individual. Equality demands that the sexual orientation of each individual in society must be protected on an even platform. The right to privacy and the protection of sexual orientation lie at the core of the fundamental rights guaranteed by Articles 14, 15 and 21 of the Constitution.”</w:t>
      </w:r>
    </w:p>
  </w:footnote>
  <w:footnote w:id="12">
    <w:p w14:paraId="4038C29F" w14:textId="05130910" w:rsidR="005A0237" w:rsidRPr="000F2E2F" w:rsidRDefault="005A0237" w:rsidP="000F2E2F">
      <w:pPr>
        <w:pStyle w:val="FootnoteText"/>
        <w:jc w:val="left"/>
        <w:rPr>
          <w:lang w:val="en-US"/>
        </w:rPr>
      </w:pPr>
      <w:r>
        <w:rPr>
          <w:rStyle w:val="FootnoteReference"/>
        </w:rPr>
        <w:footnoteRef/>
      </w:r>
      <w:r>
        <w:t xml:space="preserve"> </w:t>
      </w:r>
      <w:r w:rsidRPr="0094765A">
        <w:rPr>
          <w:rFonts w:ascii="Verdana" w:hAnsi="Verdana" w:cs="Arial"/>
          <w:sz w:val="17"/>
          <w:szCs w:val="17"/>
        </w:rPr>
        <w:t>International Commission of Jurists,</w:t>
      </w:r>
      <w:r>
        <w:rPr>
          <w:rFonts w:ascii="Verdana" w:hAnsi="Verdana" w:cs="Arial"/>
          <w:sz w:val="17"/>
          <w:szCs w:val="17"/>
        </w:rPr>
        <w:t xml:space="preserve"> </w:t>
      </w:r>
      <w:r w:rsidRPr="000F2E2F">
        <w:rPr>
          <w:rFonts w:ascii="Verdana" w:hAnsi="Verdana" w:cs="Arial"/>
          <w:i/>
          <w:sz w:val="17"/>
          <w:szCs w:val="17"/>
        </w:rPr>
        <w:t>Adjudicating Economic, Social and Cultural Rights at National Level: A Practitioner’s Guide</w:t>
      </w:r>
      <w:r w:rsidRPr="00B83995">
        <w:rPr>
          <w:rFonts w:ascii="Verdana" w:hAnsi="Verdana" w:cs="Arial"/>
          <w:sz w:val="17"/>
          <w:szCs w:val="17"/>
        </w:rPr>
        <w:t xml:space="preserve"> </w:t>
      </w:r>
      <w:r w:rsidRPr="0094765A">
        <w:rPr>
          <w:rFonts w:ascii="Verdana" w:hAnsi="Verdana" w:cs="Arial"/>
          <w:sz w:val="17"/>
          <w:szCs w:val="17"/>
          <w:lang w:val="en-US"/>
        </w:rPr>
        <w:t>(201</w:t>
      </w:r>
      <w:r>
        <w:rPr>
          <w:rFonts w:ascii="Verdana" w:hAnsi="Verdana" w:cs="Arial"/>
          <w:sz w:val="17"/>
          <w:szCs w:val="17"/>
          <w:lang w:val="en-US"/>
        </w:rPr>
        <w:t>4</w:t>
      </w:r>
      <w:r w:rsidRPr="0094765A">
        <w:rPr>
          <w:rFonts w:ascii="Verdana" w:hAnsi="Verdana" w:cs="Arial"/>
          <w:sz w:val="17"/>
          <w:szCs w:val="17"/>
          <w:lang w:val="en-US"/>
        </w:rPr>
        <w:t>)</w:t>
      </w:r>
      <w:r>
        <w:rPr>
          <w:rFonts w:ascii="Verdana" w:hAnsi="Verdana" w:cs="Arial"/>
          <w:sz w:val="17"/>
          <w:szCs w:val="17"/>
          <w:lang w:val="en-US"/>
        </w:rPr>
        <w:t xml:space="preserve">, chapter 2(a)(v) and (viii), </w:t>
      </w:r>
      <w:r w:rsidRPr="00C51ACB">
        <w:rPr>
          <w:rFonts w:ascii="Verdana" w:hAnsi="Verdana"/>
          <w:bCs/>
          <w:sz w:val="17"/>
          <w:szCs w:val="17"/>
        </w:rPr>
        <w:t>available at</w:t>
      </w:r>
      <w:r w:rsidRPr="0094765A">
        <w:rPr>
          <w:rFonts w:ascii="Verdana" w:hAnsi="Verdana" w:cs="Arial"/>
          <w:sz w:val="17"/>
          <w:szCs w:val="17"/>
          <w:lang w:val="en-US"/>
        </w:rPr>
        <w:t xml:space="preserve"> </w:t>
      </w:r>
      <w:r w:rsidRPr="00B83995">
        <w:rPr>
          <w:rFonts w:ascii="Verdana" w:hAnsi="Verdana" w:cs="Arial"/>
          <w:sz w:val="17"/>
          <w:szCs w:val="17"/>
          <w:lang w:val="en-US"/>
        </w:rPr>
        <w:t>https://www.icj.org/wp-content/uploads/2015/07/Universal-ESCR-PG-no-8-Publications-Practitioners-guide-2014-eng.pdf</w:t>
      </w:r>
      <w:r w:rsidRPr="0094765A">
        <w:rPr>
          <w:rFonts w:ascii="Verdana" w:hAnsi="Verdana" w:cs="Arial"/>
          <w:sz w:val="17"/>
          <w:szCs w:val="17"/>
          <w:lang w:val="en-US"/>
        </w:rPr>
        <w:t xml:space="preserve"> (Accessed on 26 February 2019).</w:t>
      </w:r>
    </w:p>
  </w:footnote>
  <w:footnote w:id="13">
    <w:p w14:paraId="31DB6A63" w14:textId="5A630F13" w:rsidR="005A0237" w:rsidRPr="00C51ACB" w:rsidRDefault="005A0237" w:rsidP="00964461">
      <w:pPr>
        <w:pStyle w:val="FootnoteText"/>
        <w:rPr>
          <w:rFonts w:ascii="Verdana" w:hAnsi="Verdana"/>
          <w:sz w:val="17"/>
          <w:szCs w:val="17"/>
          <w:lang w:val="en-US"/>
        </w:rPr>
      </w:pPr>
      <w:r w:rsidRPr="00C51ACB">
        <w:rPr>
          <w:rStyle w:val="FootnoteReference"/>
          <w:rFonts w:ascii="Verdana" w:hAnsi="Verdana"/>
          <w:sz w:val="17"/>
          <w:szCs w:val="17"/>
        </w:rPr>
        <w:footnoteRef/>
      </w:r>
      <w:r w:rsidRPr="00C51ACB">
        <w:rPr>
          <w:rFonts w:ascii="Verdana" w:hAnsi="Verdana"/>
          <w:sz w:val="17"/>
          <w:szCs w:val="17"/>
        </w:rPr>
        <w:t xml:space="preserve"> </w:t>
      </w:r>
      <w:r w:rsidRPr="0094765A">
        <w:rPr>
          <w:rFonts w:ascii="Verdana" w:hAnsi="Verdana"/>
          <w:sz w:val="17"/>
          <w:szCs w:val="17"/>
        </w:rPr>
        <w:t>“</w:t>
      </w:r>
      <w:r w:rsidRPr="00C51ACB">
        <w:rPr>
          <w:rFonts w:ascii="Verdana" w:hAnsi="Verdana"/>
          <w:sz w:val="17"/>
          <w:szCs w:val="17"/>
        </w:rPr>
        <w:t>Cis-het</w:t>
      </w:r>
      <w:r w:rsidRPr="0094765A">
        <w:rPr>
          <w:rFonts w:ascii="Verdana" w:hAnsi="Verdana"/>
          <w:sz w:val="17"/>
          <w:szCs w:val="17"/>
        </w:rPr>
        <w:t>”</w:t>
      </w:r>
      <w:r w:rsidRPr="00C51ACB">
        <w:rPr>
          <w:rFonts w:ascii="Verdana" w:hAnsi="Verdana"/>
          <w:sz w:val="17"/>
          <w:szCs w:val="17"/>
        </w:rPr>
        <w:t xml:space="preserve"> is a term used to refer to </w:t>
      </w:r>
      <w:r w:rsidRPr="00C51ACB">
        <w:rPr>
          <w:rFonts w:ascii="Verdana" w:hAnsi="Verdana"/>
          <w:sz w:val="17"/>
          <w:szCs w:val="17"/>
          <w:lang w:val="en-US"/>
        </w:rPr>
        <w:t xml:space="preserve">cis-gendered and heterosexual persons. </w:t>
      </w:r>
    </w:p>
  </w:footnote>
  <w:footnote w:id="14">
    <w:p w14:paraId="29951790" w14:textId="1A2EEF36" w:rsidR="005A0237" w:rsidRPr="00C51ACB" w:rsidRDefault="005A0237" w:rsidP="00964461">
      <w:pPr>
        <w:pStyle w:val="FootnoteText"/>
        <w:rPr>
          <w:rFonts w:ascii="Verdana" w:hAnsi="Verdana"/>
          <w:b/>
          <w:bCs/>
          <w:sz w:val="17"/>
          <w:szCs w:val="17"/>
        </w:rPr>
      </w:pPr>
      <w:r w:rsidRPr="00C51ACB">
        <w:rPr>
          <w:rStyle w:val="FootnoteReference"/>
          <w:rFonts w:ascii="Verdana" w:hAnsi="Verdana"/>
          <w:sz w:val="17"/>
          <w:szCs w:val="17"/>
        </w:rPr>
        <w:footnoteRef/>
      </w:r>
      <w:r w:rsidRPr="00C51ACB">
        <w:rPr>
          <w:rFonts w:ascii="Verdana" w:hAnsi="Verdana"/>
          <w:sz w:val="17"/>
          <w:szCs w:val="17"/>
        </w:rPr>
        <w:t xml:space="preserve"> </w:t>
      </w:r>
      <w:r w:rsidRPr="00C51ACB">
        <w:rPr>
          <w:rFonts w:ascii="Verdana" w:hAnsi="Verdana"/>
          <w:i/>
          <w:sz w:val="17"/>
          <w:szCs w:val="17"/>
          <w:lang w:val="en-US"/>
        </w:rPr>
        <w:t>See</w:t>
      </w:r>
      <w:r w:rsidRPr="00840E07">
        <w:rPr>
          <w:rFonts w:ascii="Verdana" w:hAnsi="Verdana"/>
          <w:i/>
          <w:sz w:val="17"/>
          <w:szCs w:val="17"/>
          <w:lang w:val="en-US"/>
        </w:rPr>
        <w:t xml:space="preserve"> </w:t>
      </w:r>
      <w:r w:rsidRPr="00840E07">
        <w:rPr>
          <w:rFonts w:ascii="Verdana" w:hAnsi="Verdana"/>
          <w:sz w:val="17"/>
          <w:szCs w:val="17"/>
          <w:lang w:val="en-US"/>
        </w:rPr>
        <w:t>Mrinalika Roy, “I</w:t>
      </w:r>
      <w:r w:rsidRPr="00C51ACB">
        <w:rPr>
          <w:rFonts w:ascii="Verdana" w:hAnsi="Verdana"/>
          <w:bCs/>
          <w:sz w:val="17"/>
          <w:szCs w:val="17"/>
        </w:rPr>
        <w:t xml:space="preserve">ndia's transgender community still waiting for toilets it was promised” </w:t>
      </w:r>
      <w:r w:rsidRPr="0094765A">
        <w:rPr>
          <w:rFonts w:ascii="Verdana" w:hAnsi="Verdana" w:cs="Arial"/>
          <w:sz w:val="17"/>
          <w:szCs w:val="17"/>
        </w:rPr>
        <w:t>Reuters (8 August 2016)</w:t>
      </w:r>
      <w:r>
        <w:rPr>
          <w:rFonts w:ascii="Verdana" w:hAnsi="Verdana" w:cs="Arial"/>
          <w:sz w:val="17"/>
          <w:szCs w:val="17"/>
        </w:rPr>
        <w:t xml:space="preserve"> </w:t>
      </w:r>
      <w:r w:rsidRPr="00C51ACB">
        <w:rPr>
          <w:rFonts w:ascii="Verdana" w:hAnsi="Verdana"/>
          <w:bCs/>
          <w:sz w:val="17"/>
          <w:szCs w:val="17"/>
        </w:rPr>
        <w:t xml:space="preserve">available at </w:t>
      </w:r>
      <w:hyperlink r:id="rId2" w:history="1">
        <w:r w:rsidRPr="00C51ACB">
          <w:rPr>
            <w:rStyle w:val="Hyperlink"/>
            <w:rFonts w:ascii="Verdana" w:hAnsi="Verdana"/>
            <w:bCs/>
            <w:sz w:val="17"/>
            <w:szCs w:val="17"/>
          </w:rPr>
          <w:t>https://in.reuters.com/article/india-transgender-toilets-idINKCN10J0VL</w:t>
        </w:r>
      </w:hyperlink>
      <w:r w:rsidRPr="00C51ACB">
        <w:rPr>
          <w:rFonts w:ascii="Verdana" w:hAnsi="Verdana"/>
          <w:bCs/>
          <w:sz w:val="17"/>
          <w:szCs w:val="17"/>
        </w:rPr>
        <w:t xml:space="preserve"> (Accessed 26 February, 2019).</w:t>
      </w:r>
    </w:p>
  </w:footnote>
  <w:footnote w:id="15">
    <w:p w14:paraId="1730B1FC" w14:textId="108AB316" w:rsidR="005A0237" w:rsidRPr="00C51ACB" w:rsidRDefault="005A0237" w:rsidP="00964461">
      <w:pPr>
        <w:pStyle w:val="FootnoteText"/>
        <w:rPr>
          <w:rFonts w:ascii="Verdana" w:hAnsi="Verdana"/>
          <w:sz w:val="17"/>
          <w:szCs w:val="17"/>
          <w:lang w:val="en-US"/>
        </w:rPr>
      </w:pPr>
      <w:r w:rsidRPr="00C51ACB">
        <w:rPr>
          <w:rStyle w:val="FootnoteReference"/>
          <w:rFonts w:ascii="Verdana" w:hAnsi="Verdana"/>
          <w:sz w:val="17"/>
          <w:szCs w:val="17"/>
        </w:rPr>
        <w:footnoteRef/>
      </w:r>
      <w:r w:rsidRPr="00C51ACB">
        <w:rPr>
          <w:rFonts w:ascii="Verdana" w:hAnsi="Verdana"/>
          <w:sz w:val="17"/>
          <w:szCs w:val="17"/>
        </w:rPr>
        <w:t xml:space="preserve"> </w:t>
      </w:r>
      <w:r w:rsidRPr="0094765A">
        <w:rPr>
          <w:rFonts w:ascii="Verdana" w:hAnsi="Verdana"/>
          <w:sz w:val="17"/>
          <w:szCs w:val="17"/>
        </w:rPr>
        <w:t>“</w:t>
      </w:r>
      <w:r w:rsidRPr="00C51ACB">
        <w:rPr>
          <w:rFonts w:ascii="Verdana" w:hAnsi="Verdana"/>
          <w:sz w:val="17"/>
          <w:szCs w:val="17"/>
        </w:rPr>
        <w:t>Phalloplasty</w:t>
      </w:r>
      <w:r w:rsidRPr="0094765A">
        <w:rPr>
          <w:rFonts w:ascii="Verdana" w:hAnsi="Verdana"/>
          <w:sz w:val="17"/>
          <w:szCs w:val="17"/>
        </w:rPr>
        <w:t>”</w:t>
      </w:r>
      <w:r w:rsidRPr="00C51ACB">
        <w:rPr>
          <w:rFonts w:ascii="Verdana" w:hAnsi="Verdana"/>
          <w:sz w:val="17"/>
          <w:szCs w:val="17"/>
        </w:rPr>
        <w:t xml:space="preserve"> refers to the </w:t>
      </w:r>
      <w:r w:rsidRPr="00C51ACB">
        <w:rPr>
          <w:rFonts w:ascii="Verdana" w:hAnsi="Verdana"/>
          <w:sz w:val="17"/>
          <w:szCs w:val="17"/>
          <w:lang w:val="en-US"/>
        </w:rPr>
        <w:t xml:space="preserve">construction or re-construction of the penis. </w:t>
      </w:r>
    </w:p>
  </w:footnote>
  <w:footnote w:id="16">
    <w:p w14:paraId="5A309E0B" w14:textId="2B5FC2FF" w:rsidR="005A0237" w:rsidRPr="00C51ACB" w:rsidRDefault="005A0237" w:rsidP="00964461">
      <w:pPr>
        <w:pStyle w:val="FootnoteText"/>
        <w:rPr>
          <w:rFonts w:ascii="Verdana" w:hAnsi="Verdana"/>
          <w:bCs/>
          <w:sz w:val="17"/>
          <w:szCs w:val="17"/>
        </w:rPr>
      </w:pPr>
      <w:r w:rsidRPr="00C51ACB">
        <w:rPr>
          <w:rStyle w:val="FootnoteReference"/>
          <w:rFonts w:ascii="Verdana" w:hAnsi="Verdana"/>
          <w:sz w:val="17"/>
          <w:szCs w:val="17"/>
        </w:rPr>
        <w:footnoteRef/>
      </w:r>
      <w:r w:rsidRPr="00C51ACB">
        <w:rPr>
          <w:rFonts w:ascii="Verdana" w:hAnsi="Verdana"/>
          <w:sz w:val="17"/>
          <w:szCs w:val="17"/>
        </w:rPr>
        <w:t xml:space="preserve"> </w:t>
      </w:r>
      <w:r w:rsidRPr="00C51ACB">
        <w:rPr>
          <w:rFonts w:ascii="Verdana" w:hAnsi="Verdana"/>
          <w:bCs/>
          <w:sz w:val="17"/>
          <w:szCs w:val="17"/>
          <w:lang w:val="en-US"/>
        </w:rPr>
        <w:t>Prabhu Mallikarjunan, “</w:t>
      </w:r>
      <w:r w:rsidRPr="00C51ACB">
        <w:rPr>
          <w:rFonts w:ascii="Verdana" w:hAnsi="Verdana"/>
          <w:bCs/>
          <w:sz w:val="17"/>
          <w:szCs w:val="17"/>
        </w:rPr>
        <w:t>For Almost 5 Lakh Indians, Using A Public Toilet Means Abuse And Harassment</w:t>
      </w:r>
      <w:r>
        <w:rPr>
          <w:rFonts w:ascii="Verdana" w:hAnsi="Verdana"/>
          <w:bCs/>
          <w:sz w:val="17"/>
          <w:szCs w:val="17"/>
        </w:rPr>
        <w:t xml:space="preserve">”, available at </w:t>
      </w:r>
      <w:hyperlink r:id="rId3" w:history="1">
        <w:r w:rsidRPr="00116579">
          <w:rPr>
            <w:rStyle w:val="Hyperlink"/>
            <w:rFonts w:ascii="Verdana" w:hAnsi="Verdana"/>
            <w:bCs/>
            <w:sz w:val="17"/>
            <w:szCs w:val="17"/>
          </w:rPr>
          <w:t>https://www.youthkiawaaz.com/2016/11/no-public-toilets-for-transgender-people/</w:t>
        </w:r>
        <w:r w:rsidRPr="000F2E2F">
          <w:rPr>
            <w:rStyle w:val="Hyperlink"/>
            <w:rFonts w:ascii="Verdana" w:hAnsi="Verdana"/>
            <w:bCs/>
            <w:color w:val="auto"/>
            <w:sz w:val="17"/>
            <w:szCs w:val="17"/>
            <w:u w:val="none"/>
          </w:rPr>
          <w:t>(Accessed</w:t>
        </w:r>
      </w:hyperlink>
      <w:r>
        <w:rPr>
          <w:rFonts w:ascii="Verdana" w:hAnsi="Verdana"/>
          <w:bCs/>
          <w:sz w:val="17"/>
          <w:szCs w:val="17"/>
        </w:rPr>
        <w:t xml:space="preserve"> 26 February, 2019)</w:t>
      </w:r>
    </w:p>
  </w:footnote>
  <w:footnote w:id="17">
    <w:p w14:paraId="73D6E3CD" w14:textId="60589AB0" w:rsidR="005A0237" w:rsidRPr="00C51ACB" w:rsidRDefault="005A0237" w:rsidP="00964461">
      <w:pPr>
        <w:pStyle w:val="FootnoteText"/>
        <w:rPr>
          <w:rFonts w:ascii="Verdana" w:hAnsi="Verdana"/>
          <w:sz w:val="17"/>
          <w:szCs w:val="17"/>
          <w:lang w:val="en-US"/>
        </w:rPr>
      </w:pPr>
      <w:r w:rsidRPr="00C51ACB">
        <w:rPr>
          <w:rStyle w:val="FootnoteReference"/>
          <w:rFonts w:ascii="Verdana" w:hAnsi="Verdana"/>
          <w:sz w:val="17"/>
          <w:szCs w:val="17"/>
        </w:rPr>
        <w:footnoteRef/>
      </w:r>
      <w:r w:rsidRPr="00C51ACB">
        <w:rPr>
          <w:rFonts w:ascii="Verdana" w:hAnsi="Verdana"/>
          <w:sz w:val="17"/>
          <w:szCs w:val="17"/>
        </w:rPr>
        <w:t xml:space="preserve"> </w:t>
      </w:r>
      <w:r w:rsidRPr="00C51ACB">
        <w:rPr>
          <w:rFonts w:ascii="Verdana" w:hAnsi="Verdana"/>
          <w:i/>
          <w:sz w:val="17"/>
          <w:szCs w:val="17"/>
        </w:rPr>
        <w:t>Id</w:t>
      </w:r>
      <w:r>
        <w:rPr>
          <w:rFonts w:ascii="Verdana" w:hAnsi="Verdana"/>
          <w:sz w:val="17"/>
          <w:szCs w:val="17"/>
        </w:rPr>
        <w:t>.</w:t>
      </w:r>
    </w:p>
  </w:footnote>
  <w:footnote w:id="18">
    <w:p w14:paraId="2B43221B" w14:textId="1034DEE4" w:rsidR="005A0237" w:rsidRPr="0094765A" w:rsidRDefault="005A0237" w:rsidP="00964461">
      <w:pPr>
        <w:pStyle w:val="FootnoteText"/>
        <w:rPr>
          <w:rFonts w:ascii="Verdana" w:hAnsi="Verdana" w:cs="Arial"/>
          <w:sz w:val="17"/>
          <w:szCs w:val="17"/>
          <w:lang w:val="en-US"/>
        </w:rPr>
      </w:pPr>
      <w:r w:rsidRPr="0094765A">
        <w:rPr>
          <w:rStyle w:val="FootnoteReference"/>
          <w:rFonts w:ascii="Verdana" w:hAnsi="Verdana" w:cs="Arial"/>
          <w:sz w:val="17"/>
          <w:szCs w:val="17"/>
        </w:rPr>
        <w:footnoteRef/>
      </w:r>
      <w:r w:rsidRPr="0094765A">
        <w:rPr>
          <w:rFonts w:ascii="Verdana" w:hAnsi="Verdana" w:cs="Arial"/>
          <w:sz w:val="17"/>
          <w:szCs w:val="17"/>
        </w:rPr>
        <w:t xml:space="preserve"> UN Committee on Economic, Social and Cultural Rights (CESCR), General Comment No. 15: The Right to Water, E/C.12/2002/11, 20 January 2003.</w:t>
      </w:r>
    </w:p>
  </w:footnote>
  <w:footnote w:id="19">
    <w:p w14:paraId="49803C93" w14:textId="5A1945FF" w:rsidR="005A0237" w:rsidRPr="0094765A" w:rsidRDefault="005A0237" w:rsidP="00964461">
      <w:pPr>
        <w:pStyle w:val="FootnoteText"/>
        <w:rPr>
          <w:rFonts w:ascii="Verdana" w:hAnsi="Verdana" w:cs="Arial"/>
          <w:sz w:val="17"/>
          <w:szCs w:val="17"/>
          <w:lang w:val="en-US"/>
        </w:rPr>
      </w:pPr>
      <w:r w:rsidRPr="0094765A">
        <w:rPr>
          <w:rStyle w:val="FootnoteReference"/>
          <w:rFonts w:ascii="Verdana" w:hAnsi="Verdana" w:cs="Arial"/>
          <w:sz w:val="17"/>
          <w:szCs w:val="17"/>
        </w:rPr>
        <w:footnoteRef/>
      </w:r>
      <w:r w:rsidRPr="0094765A">
        <w:rPr>
          <w:rFonts w:ascii="Verdana" w:hAnsi="Verdana" w:cs="Arial"/>
          <w:sz w:val="17"/>
          <w:szCs w:val="17"/>
        </w:rPr>
        <w:t xml:space="preserve"> </w:t>
      </w:r>
      <w:r w:rsidRPr="0094765A">
        <w:rPr>
          <w:rFonts w:ascii="Verdana" w:hAnsi="Verdana" w:cs="Arial"/>
          <w:sz w:val="17"/>
          <w:szCs w:val="17"/>
          <w:lang w:val="en-US"/>
        </w:rPr>
        <w:t>UN Committee on Economic, Social and Cultural Rights (CESCR), General comment No. 20: Non-discrimination in economic, social and cultural rights, E/C.12/GC/20, 2 July 2009.</w:t>
      </w:r>
    </w:p>
  </w:footnote>
  <w:footnote w:id="20">
    <w:p w14:paraId="5F0AB2CA" w14:textId="5E87976D" w:rsidR="005A0237" w:rsidRPr="0094765A" w:rsidRDefault="005A0237" w:rsidP="00964461">
      <w:pPr>
        <w:pStyle w:val="FootnoteText"/>
        <w:rPr>
          <w:rFonts w:ascii="Verdana" w:hAnsi="Verdana" w:cs="Arial"/>
          <w:sz w:val="17"/>
          <w:szCs w:val="17"/>
          <w:lang w:val="en-US"/>
        </w:rPr>
      </w:pPr>
      <w:r w:rsidRPr="0094765A">
        <w:rPr>
          <w:rStyle w:val="FootnoteReference"/>
          <w:rFonts w:ascii="Verdana" w:hAnsi="Verdana" w:cs="Arial"/>
          <w:sz w:val="17"/>
          <w:szCs w:val="17"/>
        </w:rPr>
        <w:footnoteRef/>
      </w:r>
      <w:r w:rsidRPr="0094765A">
        <w:rPr>
          <w:rFonts w:ascii="Verdana" w:hAnsi="Verdana" w:cs="Arial"/>
          <w:sz w:val="17"/>
          <w:szCs w:val="17"/>
        </w:rPr>
        <w:t xml:space="preserve"> </w:t>
      </w:r>
      <w:r w:rsidRPr="0094765A">
        <w:rPr>
          <w:rFonts w:ascii="Verdana" w:hAnsi="Verdana" w:cs="Arial"/>
          <w:sz w:val="17"/>
          <w:szCs w:val="17"/>
          <w:lang w:val="en-US"/>
        </w:rPr>
        <w:t>Please see response to Question no. 6.</w:t>
      </w:r>
    </w:p>
  </w:footnote>
  <w:footnote w:id="21">
    <w:p w14:paraId="3452DCBD" w14:textId="6BAA4B5A" w:rsidR="005A0237" w:rsidRPr="0094765A" w:rsidRDefault="005A0237" w:rsidP="00964461">
      <w:pPr>
        <w:pStyle w:val="FootnoteText"/>
        <w:rPr>
          <w:rFonts w:ascii="Verdana" w:hAnsi="Verdana" w:cs="Arial"/>
          <w:sz w:val="17"/>
          <w:szCs w:val="17"/>
          <w:lang w:val="en-US"/>
        </w:rPr>
      </w:pPr>
      <w:r w:rsidRPr="0094765A">
        <w:rPr>
          <w:rStyle w:val="FootnoteReference"/>
          <w:rFonts w:ascii="Verdana" w:hAnsi="Verdana" w:cs="Arial"/>
          <w:sz w:val="17"/>
          <w:szCs w:val="17"/>
        </w:rPr>
        <w:footnoteRef/>
      </w:r>
      <w:r w:rsidRPr="0094765A">
        <w:rPr>
          <w:rFonts w:ascii="Verdana" w:hAnsi="Verdana" w:cs="Arial"/>
          <w:sz w:val="17"/>
          <w:szCs w:val="17"/>
        </w:rPr>
        <w:t xml:space="preserve"> UN Human Rights Council, Report of the Special Rapporteur on the Human Right to Safe Drinking Water and Sanitation, A/HRC/21/42, 2 July 2012, para 40; UN Human Rights Council, The human rights to safe drinking water and sanitation: resolution / adopted by the Human Rights Council on 29 September 2016,  A/HRC/RES/33/10, 5 October 2016.</w:t>
      </w:r>
    </w:p>
  </w:footnote>
  <w:footnote w:id="22">
    <w:p w14:paraId="58B21D54" w14:textId="0360781C" w:rsidR="005A0237" w:rsidRPr="0094765A" w:rsidRDefault="005A0237" w:rsidP="00964461">
      <w:pPr>
        <w:pStyle w:val="FootnoteText"/>
        <w:rPr>
          <w:rFonts w:ascii="Verdana" w:hAnsi="Verdana" w:cs="Arial"/>
          <w:sz w:val="17"/>
          <w:szCs w:val="17"/>
          <w:lang w:val="en-US"/>
        </w:rPr>
      </w:pPr>
      <w:r w:rsidRPr="0094765A">
        <w:rPr>
          <w:rStyle w:val="FootnoteReference"/>
          <w:rFonts w:ascii="Verdana" w:hAnsi="Verdana" w:cs="Arial"/>
          <w:sz w:val="17"/>
          <w:szCs w:val="17"/>
        </w:rPr>
        <w:footnoteRef/>
      </w:r>
      <w:r w:rsidRPr="0094765A">
        <w:rPr>
          <w:rFonts w:ascii="Verdana" w:hAnsi="Verdana" w:cs="Arial"/>
          <w:sz w:val="17"/>
          <w:szCs w:val="17"/>
        </w:rPr>
        <w:t xml:space="preserve"> UN Human Rights Council, Report of the Special Rapporteur on the Human Right to Safe Drinking Water and Sanitation, A/HRC/18/33/Add.4, 2 August 2011, para 58</w:t>
      </w:r>
      <w:r>
        <w:rPr>
          <w:rFonts w:ascii="Verdana" w:hAnsi="Verdana" w:cs="Arial"/>
          <w:sz w:val="17"/>
          <w:szCs w:val="17"/>
        </w:rPr>
        <w:t>.</w:t>
      </w:r>
    </w:p>
  </w:footnote>
  <w:footnote w:id="23">
    <w:p w14:paraId="5FC59099" w14:textId="1995D4DD" w:rsidR="005A0237" w:rsidRPr="0094765A" w:rsidRDefault="005A0237" w:rsidP="00964461">
      <w:pPr>
        <w:pStyle w:val="FootnoteText"/>
        <w:rPr>
          <w:rFonts w:ascii="Verdana" w:hAnsi="Verdana"/>
          <w:sz w:val="17"/>
          <w:szCs w:val="17"/>
          <w:lang w:val="en-US"/>
        </w:rPr>
      </w:pPr>
      <w:r w:rsidRPr="0094765A">
        <w:rPr>
          <w:rStyle w:val="FootnoteReference"/>
          <w:rFonts w:ascii="Verdana" w:hAnsi="Verdana"/>
          <w:sz w:val="17"/>
          <w:szCs w:val="17"/>
        </w:rPr>
        <w:footnoteRef/>
      </w:r>
      <w:r w:rsidRPr="0094765A">
        <w:rPr>
          <w:rFonts w:ascii="Verdana" w:hAnsi="Verdana"/>
          <w:sz w:val="17"/>
          <w:szCs w:val="17"/>
        </w:rPr>
        <w:t xml:space="preserve"> </w:t>
      </w:r>
      <w:r w:rsidRPr="00C51ACB">
        <w:rPr>
          <w:rFonts w:ascii="Verdana" w:hAnsi="Verdana"/>
          <w:sz w:val="17"/>
          <w:szCs w:val="17"/>
        </w:rPr>
        <w:t>Yogyakarta Principles</w:t>
      </w:r>
      <w:r w:rsidRPr="0094765A">
        <w:rPr>
          <w:rFonts w:ascii="Verdana" w:hAnsi="Verdana"/>
          <w:sz w:val="17"/>
          <w:szCs w:val="17"/>
        </w:rPr>
        <w:t xml:space="preserve"> - Principles on the application of international human rights law in relation to sexual orientation and gender identity</w:t>
      </w:r>
      <w:r w:rsidRPr="00C51ACB">
        <w:rPr>
          <w:rFonts w:ascii="Verdana" w:hAnsi="Verdana"/>
          <w:sz w:val="17"/>
          <w:szCs w:val="17"/>
        </w:rPr>
        <w:t>,</w:t>
      </w:r>
      <w:r w:rsidRPr="0094765A">
        <w:rPr>
          <w:rFonts w:ascii="Verdana" w:hAnsi="Verdana"/>
          <w:sz w:val="17"/>
          <w:szCs w:val="17"/>
        </w:rPr>
        <w:t xml:space="preserve"> March 2007,</w:t>
      </w:r>
      <w:r w:rsidRPr="00C51ACB">
        <w:rPr>
          <w:rFonts w:ascii="Verdana" w:hAnsi="Verdana"/>
          <w:sz w:val="17"/>
          <w:szCs w:val="17"/>
        </w:rPr>
        <w:t xml:space="preserve"> </w:t>
      </w:r>
      <w:hyperlink r:id="rId4" w:history="1">
        <w:r w:rsidRPr="0094765A">
          <w:rPr>
            <w:rStyle w:val="Hyperlink"/>
            <w:rFonts w:ascii="Verdana" w:hAnsi="Verdana"/>
            <w:sz w:val="17"/>
            <w:szCs w:val="17"/>
          </w:rPr>
          <w:t>http://yogyakartaprinciples.org/wp-content/uploads/2017/11/A5_yogyakartaWEB-2.pdf</w:t>
        </w:r>
      </w:hyperlink>
      <w:r w:rsidRPr="0094765A">
        <w:rPr>
          <w:rFonts w:ascii="Verdana" w:hAnsi="Verdana"/>
          <w:sz w:val="17"/>
          <w:szCs w:val="17"/>
        </w:rPr>
        <w:t xml:space="preserve"> (Accessed on 26 February 2019).</w:t>
      </w:r>
    </w:p>
  </w:footnote>
  <w:footnote w:id="24">
    <w:p w14:paraId="394934DE" w14:textId="1548068C" w:rsidR="005A0237" w:rsidRPr="0094765A" w:rsidRDefault="005A0237" w:rsidP="00964461">
      <w:pPr>
        <w:spacing w:after="0" w:line="240" w:lineRule="auto"/>
        <w:rPr>
          <w:rFonts w:ascii="Verdana" w:hAnsi="Verdana" w:cs="Arial"/>
          <w:sz w:val="17"/>
          <w:szCs w:val="17"/>
        </w:rPr>
      </w:pPr>
      <w:r w:rsidRPr="0094765A">
        <w:rPr>
          <w:rStyle w:val="FootnoteReference"/>
          <w:rFonts w:ascii="Verdana" w:hAnsi="Verdana" w:cs="Arial"/>
          <w:sz w:val="17"/>
          <w:szCs w:val="17"/>
        </w:rPr>
        <w:footnoteRef/>
      </w:r>
      <w:r w:rsidRPr="0094765A">
        <w:rPr>
          <w:rFonts w:ascii="Verdana" w:hAnsi="Verdana" w:cs="Arial"/>
          <w:sz w:val="17"/>
          <w:szCs w:val="17"/>
        </w:rPr>
        <w:t xml:space="preserve"> Additional Principles And State Obligations On The Application Of International Human Rights Law In Relation To Sexual Orientation, Gender Identity, Gender Expression And Sex Characteristics To Complement The Yogyakarta Principles, Principle 35 states, “</w:t>
      </w:r>
      <w:r w:rsidRPr="0094765A">
        <w:rPr>
          <w:rFonts w:ascii="Verdana" w:eastAsia="Times New Roman" w:hAnsi="Verdana" w:cs="Times New Roman"/>
          <w:sz w:val="17"/>
          <w:szCs w:val="17"/>
        </w:rPr>
        <w:t>Everyone has the right to equitable, adequate, safe and secure sanitation and hygiene, in circumstances that are consistent with human dignity, without discrimination, including on the basis of sexual orientation, gender identity, gender expression or sex characteristics.”</w:t>
      </w:r>
    </w:p>
  </w:footnote>
  <w:footnote w:id="25">
    <w:p w14:paraId="487E0915" w14:textId="562F725B" w:rsidR="005A0237" w:rsidRPr="0094765A" w:rsidRDefault="005A0237" w:rsidP="00964461">
      <w:pPr>
        <w:pStyle w:val="FootnoteText"/>
        <w:rPr>
          <w:rFonts w:ascii="Verdana" w:hAnsi="Verdana" w:cs="Arial"/>
          <w:sz w:val="17"/>
          <w:szCs w:val="17"/>
          <w:lang w:val="en-US"/>
        </w:rPr>
      </w:pPr>
      <w:r w:rsidRPr="0094765A">
        <w:rPr>
          <w:rStyle w:val="FootnoteReference"/>
          <w:rFonts w:ascii="Verdana" w:hAnsi="Verdana" w:cs="Arial"/>
          <w:sz w:val="17"/>
          <w:szCs w:val="17"/>
        </w:rPr>
        <w:footnoteRef/>
      </w:r>
      <w:r w:rsidRPr="0094765A">
        <w:rPr>
          <w:rFonts w:ascii="Verdana" w:hAnsi="Verdana" w:cs="Arial"/>
          <w:sz w:val="17"/>
          <w:szCs w:val="17"/>
        </w:rPr>
        <w:t xml:space="preserve"> </w:t>
      </w:r>
      <w:r w:rsidRPr="0094765A">
        <w:rPr>
          <w:rFonts w:ascii="Verdana" w:hAnsi="Verdana" w:cs="Arial"/>
          <w:sz w:val="17"/>
          <w:szCs w:val="17"/>
          <w:lang w:val="en-US"/>
        </w:rPr>
        <w:t>Constitution of India, 1950, Art. 15(2).</w:t>
      </w:r>
    </w:p>
  </w:footnote>
  <w:footnote w:id="26">
    <w:p w14:paraId="34189333" w14:textId="12BC2EF2" w:rsidR="005A0237" w:rsidRPr="0094765A" w:rsidRDefault="005A0237" w:rsidP="00964461">
      <w:pPr>
        <w:pStyle w:val="FootnoteText"/>
        <w:rPr>
          <w:rFonts w:ascii="Verdana" w:hAnsi="Verdana" w:cs="Arial"/>
          <w:sz w:val="17"/>
          <w:szCs w:val="17"/>
          <w:lang w:val="en-US"/>
        </w:rPr>
      </w:pPr>
      <w:r w:rsidRPr="0094765A">
        <w:rPr>
          <w:rStyle w:val="FootnoteReference"/>
          <w:rFonts w:ascii="Verdana" w:hAnsi="Verdana" w:cs="Arial"/>
          <w:sz w:val="17"/>
          <w:szCs w:val="17"/>
        </w:rPr>
        <w:footnoteRef/>
      </w:r>
      <w:r w:rsidRPr="0094765A">
        <w:rPr>
          <w:rFonts w:ascii="Verdana" w:hAnsi="Verdana" w:cs="Arial"/>
          <w:sz w:val="17"/>
          <w:szCs w:val="17"/>
        </w:rPr>
        <w:t xml:space="preserve"> UN Human Rights Council, Report of the Special Rapporteur on the Human Right to Safe Drinking Water and Sanitation, A/HRC/21/42, 2 July 2012, </w:t>
      </w:r>
      <w:r w:rsidRPr="0094765A">
        <w:rPr>
          <w:rFonts w:ascii="Verdana" w:hAnsi="Verdana" w:cs="Arial"/>
          <w:sz w:val="17"/>
          <w:szCs w:val="17"/>
          <w:lang w:val="en-US"/>
        </w:rPr>
        <w:t>para 57 states, “Article 17 of the International Covenant on Civil and Political Rights goes on to guarantee that ―everyone has the right to the protection of the law against such interference or attacks</w:t>
      </w:r>
      <w:r w:rsidRPr="00C51ACB">
        <w:rPr>
          <w:rFonts w:ascii="Times New Roman" w:hAnsi="Times New Roman" w:cs="Times New Roman"/>
          <w:sz w:val="17"/>
          <w:szCs w:val="17"/>
        </w:rPr>
        <w:t>‖</w:t>
      </w:r>
      <w:r w:rsidRPr="0094765A">
        <w:rPr>
          <w:rFonts w:ascii="Verdana" w:hAnsi="Verdana" w:cs="Arial"/>
          <w:sz w:val="17"/>
          <w:szCs w:val="17"/>
          <w:lang w:val="en-US"/>
        </w:rPr>
        <w:t>, thus including an explicit guarantee of protection against interference by private parties. This results in a positive obligation of States parties to protect privacy against interference and attacks by others, which has been found to be of particular relevance, for instance, in relation to persons deprived of personal liberty, older persons, persons with disabilities or transgendered persons. This provision is of enormous significance in the context of combatting stigma. It clearly demonstrates that States‘ obligations reach into the private sphere. They cannot dismiss stigma as a social phenomenon over which States have no influence. Instead, they have positive obligations that extend into this realm, requiring States, for instance, to take measures that enable women and girls to manage their menstrual hygiene needs in a manner that protects their privacy and dignity.”</w:t>
      </w:r>
    </w:p>
  </w:footnote>
  <w:footnote w:id="27">
    <w:p w14:paraId="72EF2356" w14:textId="285B0800" w:rsidR="005A0237" w:rsidRPr="0094765A" w:rsidRDefault="005A0237" w:rsidP="00964461">
      <w:pPr>
        <w:pStyle w:val="FootnoteText"/>
        <w:rPr>
          <w:rFonts w:ascii="Verdana" w:hAnsi="Verdana" w:cs="Arial"/>
          <w:sz w:val="17"/>
          <w:szCs w:val="17"/>
          <w:lang w:val="en-US"/>
        </w:rPr>
      </w:pPr>
      <w:r w:rsidRPr="0094765A">
        <w:rPr>
          <w:rStyle w:val="FootnoteReference"/>
          <w:rFonts w:ascii="Verdana" w:hAnsi="Verdana" w:cs="Arial"/>
          <w:sz w:val="17"/>
          <w:szCs w:val="17"/>
        </w:rPr>
        <w:footnoteRef/>
      </w:r>
      <w:r w:rsidRPr="0094765A">
        <w:rPr>
          <w:rFonts w:ascii="Verdana" w:hAnsi="Verdana" w:cs="Arial"/>
          <w:sz w:val="17"/>
          <w:szCs w:val="17"/>
        </w:rPr>
        <w:t xml:space="preserve"> Convention on the Rights of Persons with Disabilities (CRPD), Arts. 3 and 9 state that accessibility on an equal basis as others of the physical environment, transportation, and of facilities open to and provided to the public, is essential for leading an independent life and to enable full participation in all aspects of life. International Convention on the Elimination of All Forms of Racial Discrimination (CERD), Art. 5(f) prohibits discrimination in access to “any place or service intended for use by the general public</w:t>
      </w:r>
      <w:r w:rsidRPr="0094765A">
        <w:rPr>
          <w:rFonts w:ascii="Verdana" w:hAnsi="Verdana" w:cs="Arial"/>
          <w:sz w:val="17"/>
          <w:szCs w:val="17"/>
          <w:lang w:val="en-US"/>
        </w:rPr>
        <w:t xml:space="preserve">;” </w:t>
      </w:r>
      <w:r w:rsidRPr="0094765A">
        <w:rPr>
          <w:rFonts w:ascii="Verdana" w:hAnsi="Verdana" w:cs="Arial"/>
          <w:sz w:val="17"/>
          <w:szCs w:val="17"/>
        </w:rPr>
        <w:t>Convention on the Elimination of All Forms of Discrimination Against Women (CEDAW), preamble and Art. 7 states that all women should have non-discriminatory access to participate in public life.</w:t>
      </w:r>
    </w:p>
  </w:footnote>
  <w:footnote w:id="28">
    <w:p w14:paraId="3BDCA500" w14:textId="3543ACFB" w:rsidR="005A0237" w:rsidRPr="00C51ACB" w:rsidRDefault="005A0237" w:rsidP="00964461">
      <w:pPr>
        <w:pStyle w:val="FootnoteText"/>
        <w:rPr>
          <w:rFonts w:ascii="Verdana" w:hAnsi="Verdana"/>
          <w:sz w:val="17"/>
          <w:szCs w:val="17"/>
          <w:lang w:val="en-US"/>
        </w:rPr>
      </w:pPr>
      <w:r w:rsidRPr="00C51ACB">
        <w:rPr>
          <w:rStyle w:val="FootnoteReference"/>
          <w:rFonts w:ascii="Verdana" w:hAnsi="Verdana"/>
          <w:sz w:val="17"/>
          <w:szCs w:val="17"/>
        </w:rPr>
        <w:footnoteRef/>
      </w:r>
      <w:r w:rsidRPr="00C51ACB">
        <w:rPr>
          <w:rFonts w:ascii="Verdana" w:hAnsi="Verdana"/>
          <w:sz w:val="17"/>
          <w:szCs w:val="17"/>
        </w:rPr>
        <w:t xml:space="preserve"> </w:t>
      </w:r>
      <w:r w:rsidRPr="00C51ACB">
        <w:rPr>
          <w:rFonts w:ascii="Verdana" w:hAnsi="Verdana" w:cs="Arial"/>
          <w:i/>
          <w:sz w:val="17"/>
          <w:szCs w:val="17"/>
        </w:rPr>
        <w:t>Rajive Raturi vs. Union of India</w:t>
      </w:r>
      <w:r w:rsidRPr="0094765A">
        <w:rPr>
          <w:rFonts w:ascii="Verdana" w:hAnsi="Verdana" w:cs="Arial"/>
          <w:sz w:val="17"/>
          <w:szCs w:val="17"/>
        </w:rPr>
        <w:t>,</w:t>
      </w:r>
      <w:r w:rsidRPr="00D760A3">
        <w:rPr>
          <w:rFonts w:ascii="Verdana" w:hAnsi="Verdana"/>
          <w:sz w:val="17"/>
          <w:szCs w:val="17"/>
        </w:rPr>
        <w:t xml:space="preserve"> </w:t>
      </w:r>
      <w:r w:rsidRPr="0094765A">
        <w:rPr>
          <w:rFonts w:ascii="Verdana" w:hAnsi="Verdana"/>
          <w:sz w:val="17"/>
          <w:szCs w:val="17"/>
        </w:rPr>
        <w:t>Supreme Court of India,</w:t>
      </w:r>
      <w:r w:rsidRPr="0094765A">
        <w:rPr>
          <w:rFonts w:ascii="Verdana" w:hAnsi="Verdana" w:cs="Arial"/>
          <w:sz w:val="17"/>
          <w:szCs w:val="17"/>
        </w:rPr>
        <w:t>(2018)2SCC413</w:t>
      </w:r>
      <w:r w:rsidRPr="00C51ACB">
        <w:rPr>
          <w:rFonts w:ascii="Verdana" w:hAnsi="Verdana"/>
          <w:sz w:val="17"/>
          <w:szCs w:val="17"/>
        </w:rPr>
        <w:t xml:space="preserve">; </w:t>
      </w:r>
      <w:r w:rsidRPr="0094765A">
        <w:rPr>
          <w:rFonts w:ascii="Verdana" w:hAnsi="Verdana" w:cs="Arial"/>
          <w:sz w:val="17"/>
          <w:szCs w:val="17"/>
        </w:rPr>
        <w:t>NALSA,</w:t>
      </w:r>
      <w:r w:rsidRPr="00C51ACB">
        <w:rPr>
          <w:rFonts w:ascii="Verdana" w:hAnsi="Verdana"/>
          <w:sz w:val="17"/>
          <w:szCs w:val="17"/>
        </w:rPr>
        <w:t xml:space="preserve"> </w:t>
      </w:r>
      <w:r w:rsidRPr="0094765A">
        <w:rPr>
          <w:rFonts w:ascii="Verdana" w:hAnsi="Verdana"/>
          <w:sz w:val="17"/>
          <w:szCs w:val="17"/>
          <w:lang w:val="en-US"/>
        </w:rPr>
        <w:t>p</w:t>
      </w:r>
      <w:r w:rsidRPr="00C51ACB">
        <w:rPr>
          <w:rFonts w:ascii="Verdana" w:hAnsi="Verdana"/>
          <w:sz w:val="17"/>
          <w:szCs w:val="17"/>
          <w:lang w:val="en-US"/>
        </w:rPr>
        <w:t>ara 55 states, “Further, access to public toilets is also a serious problem they face quite often. Since, there are no separate toilet facilities for Hijras/transgender persons, they have to use male toilets where they are prone to sexual assault and harassment. Discrimination on the ground of sexual orientation or gender identity, therefore, impairs equality before law and equal protection of law and violates Article 14 of the Constitution of India.”</w:t>
      </w:r>
    </w:p>
  </w:footnote>
  <w:footnote w:id="29">
    <w:p w14:paraId="770F2722" w14:textId="7C02290F" w:rsidR="005A0237" w:rsidRPr="00C51ACB" w:rsidRDefault="005A0237" w:rsidP="00964461">
      <w:pPr>
        <w:pStyle w:val="FootnoteText"/>
        <w:rPr>
          <w:rFonts w:ascii="Verdana" w:hAnsi="Verdana"/>
          <w:i/>
          <w:sz w:val="17"/>
          <w:szCs w:val="17"/>
        </w:rPr>
      </w:pPr>
      <w:r w:rsidRPr="00C51ACB">
        <w:rPr>
          <w:rStyle w:val="FootnoteReference"/>
          <w:rFonts w:ascii="Verdana" w:hAnsi="Verdana"/>
          <w:sz w:val="17"/>
          <w:szCs w:val="17"/>
        </w:rPr>
        <w:footnoteRef/>
      </w:r>
      <w:r w:rsidRPr="00C51ACB">
        <w:rPr>
          <w:rFonts w:ascii="Verdana" w:hAnsi="Verdana"/>
          <w:sz w:val="17"/>
          <w:szCs w:val="17"/>
        </w:rPr>
        <w:t xml:space="preserve"> </w:t>
      </w:r>
      <w:r w:rsidRPr="0094765A">
        <w:rPr>
          <w:rFonts w:ascii="Verdana" w:hAnsi="Verdana"/>
          <w:sz w:val="17"/>
          <w:szCs w:val="17"/>
        </w:rPr>
        <w:t xml:space="preserve">India. 2013. </w:t>
      </w:r>
      <w:r w:rsidRPr="00C51ACB">
        <w:rPr>
          <w:rFonts w:ascii="Verdana" w:hAnsi="Verdana"/>
          <w:i/>
          <w:sz w:val="17"/>
          <w:szCs w:val="17"/>
        </w:rPr>
        <w:t>National Rural Drinking Water Programme: Movement towards ensuring people’s Drinking</w:t>
      </w:r>
    </w:p>
    <w:p w14:paraId="7630CCD7" w14:textId="1C8AEE11" w:rsidR="005A0237" w:rsidRPr="00C51ACB" w:rsidRDefault="005A0237" w:rsidP="00964461">
      <w:pPr>
        <w:pStyle w:val="FootnoteText"/>
        <w:rPr>
          <w:rFonts w:ascii="Verdana" w:hAnsi="Verdana"/>
          <w:sz w:val="17"/>
          <w:szCs w:val="17"/>
          <w:lang w:val="en-US"/>
        </w:rPr>
      </w:pPr>
      <w:r w:rsidRPr="00C51ACB">
        <w:rPr>
          <w:rFonts w:ascii="Verdana" w:hAnsi="Verdana"/>
          <w:i/>
          <w:sz w:val="17"/>
          <w:szCs w:val="17"/>
        </w:rPr>
        <w:t>Water Security in Rural India Guidelines – 2013</w:t>
      </w:r>
      <w:r w:rsidRPr="0094765A">
        <w:rPr>
          <w:rFonts w:ascii="Verdana" w:hAnsi="Verdana"/>
          <w:sz w:val="17"/>
          <w:szCs w:val="17"/>
        </w:rPr>
        <w:t xml:space="preserve">. Ministry of Drinking Water and Sanitation.  </w:t>
      </w:r>
      <w:hyperlink r:id="rId5" w:history="1">
        <w:r w:rsidRPr="00C51ACB">
          <w:rPr>
            <w:rStyle w:val="Hyperlink"/>
            <w:rFonts w:ascii="Verdana" w:hAnsi="Verdana"/>
            <w:sz w:val="17"/>
            <w:szCs w:val="17"/>
          </w:rPr>
          <w:t>https://mdws.gov.in/sites/default/files/NRDWP_Guidelines_2013_0.pdf</w:t>
        </w:r>
      </w:hyperlink>
      <w:r w:rsidRPr="0094765A">
        <w:rPr>
          <w:rFonts w:ascii="Verdana" w:hAnsi="Verdana"/>
          <w:sz w:val="17"/>
          <w:szCs w:val="17"/>
        </w:rPr>
        <w:t xml:space="preserve"> </w:t>
      </w:r>
      <w:r w:rsidRPr="0094765A">
        <w:rPr>
          <w:rFonts w:ascii="Verdana" w:hAnsi="Verdana" w:cs="Arial"/>
          <w:sz w:val="17"/>
          <w:szCs w:val="17"/>
        </w:rPr>
        <w:t xml:space="preserve"> (Accessed on 26 February 2019).</w:t>
      </w:r>
    </w:p>
  </w:footnote>
  <w:footnote w:id="30">
    <w:p w14:paraId="6AA9D652" w14:textId="38ECA48C" w:rsidR="005A0237" w:rsidRPr="00C51ACB" w:rsidRDefault="005A0237" w:rsidP="00964461">
      <w:pPr>
        <w:pStyle w:val="FootnoteText"/>
        <w:rPr>
          <w:rFonts w:ascii="Verdana" w:hAnsi="Verdana"/>
          <w:sz w:val="17"/>
          <w:szCs w:val="17"/>
          <w:lang w:val="en-US"/>
        </w:rPr>
      </w:pPr>
      <w:r w:rsidRPr="00C51ACB">
        <w:rPr>
          <w:rStyle w:val="FootnoteReference"/>
          <w:rFonts w:ascii="Verdana" w:hAnsi="Verdana"/>
          <w:sz w:val="17"/>
          <w:szCs w:val="17"/>
        </w:rPr>
        <w:footnoteRef/>
      </w:r>
      <w:r w:rsidRPr="00C51ACB">
        <w:rPr>
          <w:rFonts w:ascii="Verdana" w:hAnsi="Verdana"/>
          <w:sz w:val="17"/>
          <w:szCs w:val="17"/>
        </w:rPr>
        <w:t xml:space="preserve"> </w:t>
      </w:r>
      <w:r w:rsidRPr="0094765A">
        <w:rPr>
          <w:rFonts w:ascii="Verdana" w:hAnsi="Verdana"/>
          <w:sz w:val="17"/>
          <w:szCs w:val="17"/>
        </w:rPr>
        <w:t xml:space="preserve">India. 2017. </w:t>
      </w:r>
      <w:r w:rsidRPr="0094765A">
        <w:rPr>
          <w:rFonts w:ascii="Verdana" w:hAnsi="Verdana"/>
          <w:i/>
          <w:sz w:val="17"/>
          <w:szCs w:val="17"/>
        </w:rPr>
        <w:t xml:space="preserve">Guidelines for Swachh Bharat Mission (Gramin). </w:t>
      </w:r>
      <w:r w:rsidRPr="0094765A">
        <w:rPr>
          <w:rFonts w:ascii="Verdana" w:hAnsi="Verdana"/>
          <w:sz w:val="17"/>
          <w:szCs w:val="17"/>
        </w:rPr>
        <w:t xml:space="preserve">Ministry of Drinking Water and Sanitation. </w:t>
      </w:r>
      <w:hyperlink r:id="rId6" w:history="1">
        <w:r w:rsidRPr="00C51ACB">
          <w:rPr>
            <w:rStyle w:val="Hyperlink"/>
            <w:rFonts w:ascii="Verdana" w:hAnsi="Verdana"/>
            <w:sz w:val="17"/>
            <w:szCs w:val="17"/>
          </w:rPr>
          <w:t>https://mdws.gov.in/sites/default/files/Complete%20set%20guidelines_1.pdf</w:t>
        </w:r>
      </w:hyperlink>
      <w:r w:rsidRPr="0094765A">
        <w:rPr>
          <w:rFonts w:ascii="Verdana" w:hAnsi="Verdana"/>
          <w:sz w:val="17"/>
          <w:szCs w:val="17"/>
        </w:rPr>
        <w:t xml:space="preserve"> </w:t>
      </w:r>
      <w:r w:rsidRPr="0094765A">
        <w:rPr>
          <w:rFonts w:ascii="Verdana" w:hAnsi="Verdana" w:cs="Arial"/>
          <w:sz w:val="17"/>
          <w:szCs w:val="17"/>
        </w:rPr>
        <w:t xml:space="preserve"> (Accessed on 26 February 2019).</w:t>
      </w:r>
    </w:p>
  </w:footnote>
  <w:footnote w:id="31">
    <w:p w14:paraId="45E09540" w14:textId="5FA67E8C" w:rsidR="005A0237" w:rsidRPr="0094765A" w:rsidRDefault="005A0237" w:rsidP="00964461">
      <w:pPr>
        <w:pStyle w:val="FootnoteText"/>
        <w:rPr>
          <w:rFonts w:ascii="Verdana" w:hAnsi="Verdana" w:cs="Arial"/>
          <w:sz w:val="17"/>
          <w:szCs w:val="17"/>
          <w:lang w:val="en-US"/>
        </w:rPr>
      </w:pPr>
      <w:r w:rsidRPr="0094765A">
        <w:rPr>
          <w:rStyle w:val="FootnoteReference"/>
          <w:rFonts w:ascii="Verdana" w:hAnsi="Verdana" w:cs="Arial"/>
          <w:sz w:val="17"/>
          <w:szCs w:val="17"/>
        </w:rPr>
        <w:footnoteRef/>
      </w:r>
      <w:r w:rsidRPr="0094765A">
        <w:rPr>
          <w:rFonts w:ascii="Verdana" w:hAnsi="Verdana" w:cs="Arial"/>
          <w:sz w:val="17"/>
          <w:szCs w:val="17"/>
        </w:rPr>
        <w:t xml:space="preserve"> </w:t>
      </w:r>
      <w:r w:rsidRPr="0094765A">
        <w:rPr>
          <w:rFonts w:ascii="Verdana" w:hAnsi="Verdana" w:cs="Arial"/>
          <w:sz w:val="17"/>
          <w:szCs w:val="17"/>
          <w:lang w:val="en-US"/>
        </w:rPr>
        <w:t>‘Third-gender’ is a term used to refer to transgender persons.</w:t>
      </w:r>
    </w:p>
  </w:footnote>
  <w:footnote w:id="32">
    <w:p w14:paraId="440D2C34" w14:textId="5C8F382E" w:rsidR="005A0237" w:rsidRPr="0094765A" w:rsidRDefault="005A0237" w:rsidP="00964461">
      <w:pPr>
        <w:spacing w:after="0" w:line="240" w:lineRule="auto"/>
        <w:rPr>
          <w:rFonts w:ascii="Verdana" w:hAnsi="Verdana" w:cs="Arial"/>
          <w:sz w:val="17"/>
          <w:szCs w:val="17"/>
        </w:rPr>
      </w:pPr>
      <w:r w:rsidRPr="0094765A">
        <w:rPr>
          <w:rFonts w:ascii="Verdana" w:hAnsi="Verdana" w:cs="Arial"/>
          <w:sz w:val="17"/>
          <w:szCs w:val="17"/>
          <w:vertAlign w:val="superscript"/>
        </w:rPr>
        <w:footnoteRef/>
      </w:r>
      <w:r w:rsidRPr="0094765A">
        <w:rPr>
          <w:rFonts w:ascii="Verdana" w:hAnsi="Verdana" w:cs="Arial"/>
          <w:sz w:val="17"/>
          <w:szCs w:val="17"/>
        </w:rPr>
        <w:t xml:space="preserve"> India. 2017. </w:t>
      </w:r>
      <w:r w:rsidRPr="0094765A">
        <w:rPr>
          <w:rFonts w:ascii="Verdana" w:hAnsi="Verdana" w:cs="Arial"/>
          <w:i/>
          <w:sz w:val="17"/>
          <w:szCs w:val="17"/>
        </w:rPr>
        <w:t>Guidelines on gender issues in sanitation</w:t>
      </w:r>
      <w:r w:rsidRPr="0094765A">
        <w:rPr>
          <w:rFonts w:ascii="Verdana" w:hAnsi="Verdana" w:cs="Arial"/>
          <w:sz w:val="17"/>
          <w:szCs w:val="17"/>
        </w:rPr>
        <w:t xml:space="preserve">. Ministry of Drinking Water and Sanitation.  </w:t>
      </w:r>
      <w:hyperlink r:id="rId7" w:history="1">
        <w:r w:rsidRPr="0094765A">
          <w:rPr>
            <w:rStyle w:val="Hyperlink"/>
            <w:rFonts w:ascii="Verdana" w:hAnsi="Verdana" w:cs="Arial"/>
            <w:sz w:val="17"/>
            <w:szCs w:val="17"/>
          </w:rPr>
          <w:t>https://mdws.gov.in/sites/default/files/Guidelines%20on%20Gender%20issues%20in%20Sanitation.pdf</w:t>
        </w:r>
      </w:hyperlink>
      <w:r w:rsidRPr="0094765A">
        <w:rPr>
          <w:rFonts w:ascii="Verdana" w:hAnsi="Verdana" w:cs="Arial"/>
          <w:sz w:val="17"/>
          <w:szCs w:val="17"/>
        </w:rPr>
        <w:t xml:space="preserve">  (Accessed on 26 February, 2019).</w:t>
      </w:r>
    </w:p>
  </w:footnote>
  <w:footnote w:id="33">
    <w:p w14:paraId="589AD6F6" w14:textId="1530EA1B" w:rsidR="005A0237" w:rsidRPr="0094765A" w:rsidRDefault="005A0237" w:rsidP="00964461">
      <w:pPr>
        <w:pStyle w:val="FootnoteText"/>
        <w:rPr>
          <w:rFonts w:ascii="Verdana" w:hAnsi="Verdana" w:cs="Arial"/>
          <w:sz w:val="17"/>
          <w:szCs w:val="17"/>
          <w:lang w:val="en-US"/>
        </w:rPr>
      </w:pPr>
      <w:r w:rsidRPr="0094765A">
        <w:rPr>
          <w:rStyle w:val="FootnoteReference"/>
          <w:rFonts w:ascii="Verdana" w:hAnsi="Verdana" w:cs="Arial"/>
          <w:sz w:val="17"/>
          <w:szCs w:val="17"/>
        </w:rPr>
        <w:footnoteRef/>
      </w:r>
      <w:r w:rsidRPr="0094765A">
        <w:rPr>
          <w:rFonts w:ascii="Verdana" w:hAnsi="Verdana" w:cs="Arial"/>
          <w:sz w:val="17"/>
          <w:szCs w:val="17"/>
        </w:rPr>
        <w:t xml:space="preserve"> Karnataka, India. 2017. </w:t>
      </w:r>
      <w:r w:rsidRPr="0094765A">
        <w:rPr>
          <w:rFonts w:ascii="Verdana" w:hAnsi="Verdana" w:cs="Arial"/>
          <w:i/>
          <w:sz w:val="17"/>
          <w:szCs w:val="17"/>
        </w:rPr>
        <w:t>State Policy on Transgenders</w:t>
      </w:r>
      <w:r w:rsidRPr="0094765A">
        <w:rPr>
          <w:rFonts w:ascii="Verdana" w:hAnsi="Verdana" w:cs="Arial"/>
          <w:sz w:val="17"/>
          <w:szCs w:val="17"/>
        </w:rPr>
        <w:t xml:space="preserve">. Government of Karnataka. Page 15, para 9.7. </w:t>
      </w:r>
      <w:hyperlink r:id="rId8" w:history="1">
        <w:r w:rsidRPr="00C51ACB">
          <w:rPr>
            <w:rStyle w:val="Hyperlink"/>
            <w:rFonts w:ascii="Verdana" w:hAnsi="Verdana" w:cs="Arial"/>
            <w:color w:val="4472C4" w:themeColor="accent1"/>
            <w:sz w:val="17"/>
            <w:szCs w:val="17"/>
          </w:rPr>
          <w:t>http://www.khpt.org/wp-content/uploads/2018/01/TG-policy-1.pdf</w:t>
        </w:r>
      </w:hyperlink>
      <w:r w:rsidRPr="0094765A">
        <w:rPr>
          <w:rFonts w:ascii="Verdana" w:hAnsi="Verdana" w:cs="Arial"/>
          <w:sz w:val="17"/>
          <w:szCs w:val="17"/>
        </w:rPr>
        <w:t xml:space="preserve"> (Accessed on 26 February 2019). </w:t>
      </w:r>
    </w:p>
  </w:footnote>
  <w:footnote w:id="34">
    <w:p w14:paraId="0747AD36" w14:textId="419F1EB2" w:rsidR="005A0237" w:rsidRPr="0094765A" w:rsidRDefault="005A0237" w:rsidP="00964461">
      <w:pPr>
        <w:spacing w:after="0" w:line="240" w:lineRule="auto"/>
        <w:rPr>
          <w:rFonts w:ascii="Verdana" w:hAnsi="Verdana" w:cs="Arial"/>
          <w:sz w:val="17"/>
          <w:szCs w:val="17"/>
        </w:rPr>
      </w:pPr>
      <w:r w:rsidRPr="0094765A">
        <w:rPr>
          <w:rFonts w:ascii="Verdana" w:hAnsi="Verdana" w:cs="Arial"/>
          <w:sz w:val="17"/>
          <w:szCs w:val="17"/>
          <w:vertAlign w:val="superscript"/>
        </w:rPr>
        <w:footnoteRef/>
      </w:r>
      <w:r w:rsidRPr="0094765A">
        <w:rPr>
          <w:rFonts w:ascii="Verdana" w:hAnsi="Verdana" w:cs="Arial"/>
          <w:sz w:val="17"/>
          <w:szCs w:val="17"/>
        </w:rPr>
        <w:t xml:space="preserve"> Shubhadeep Choudhry, </w:t>
      </w:r>
      <w:r w:rsidRPr="0094765A">
        <w:rPr>
          <w:rFonts w:ascii="Verdana" w:hAnsi="Verdana" w:cs="Arial"/>
          <w:i/>
          <w:sz w:val="17"/>
          <w:szCs w:val="17"/>
        </w:rPr>
        <w:t>India’s first toilet for transgenders in Mysore</w:t>
      </w:r>
      <w:r w:rsidRPr="0094765A">
        <w:rPr>
          <w:rFonts w:ascii="Verdana" w:hAnsi="Verdana" w:cs="Arial"/>
          <w:sz w:val="17"/>
          <w:szCs w:val="17"/>
        </w:rPr>
        <w:t xml:space="preserve">, The Tribune (20 November 2015). </w:t>
      </w:r>
      <w:hyperlink r:id="rId9" w:history="1">
        <w:r w:rsidRPr="00C51ACB">
          <w:rPr>
            <w:rStyle w:val="Hyperlink"/>
            <w:rFonts w:ascii="Verdana" w:eastAsia="Garamond" w:hAnsi="Verdana" w:cs="Arial"/>
            <w:color w:val="4472C4" w:themeColor="accent1"/>
            <w:sz w:val="17"/>
            <w:szCs w:val="17"/>
          </w:rPr>
          <w:t>http://www.tribuneindia.com/news/nation/india-s-first-toilet-for-transgenders-in-mysore/160491.html</w:t>
        </w:r>
      </w:hyperlink>
      <w:r w:rsidRPr="00C51ACB">
        <w:rPr>
          <w:rFonts w:ascii="Verdana" w:eastAsia="Garamond" w:hAnsi="Verdana" w:cs="Arial"/>
          <w:color w:val="4472C4" w:themeColor="accent1"/>
          <w:sz w:val="17"/>
          <w:szCs w:val="17"/>
          <w:u w:val="single"/>
        </w:rPr>
        <w:t xml:space="preserve"> </w:t>
      </w:r>
      <w:r w:rsidRPr="00C51ACB">
        <w:rPr>
          <w:rFonts w:ascii="Verdana" w:hAnsi="Verdana" w:cs="Arial"/>
          <w:color w:val="4472C4" w:themeColor="accent1"/>
          <w:sz w:val="17"/>
          <w:szCs w:val="17"/>
          <w:u w:val="single"/>
        </w:rPr>
        <w:t xml:space="preserve"> </w:t>
      </w:r>
      <w:r w:rsidRPr="0094765A">
        <w:rPr>
          <w:rFonts w:ascii="Verdana" w:hAnsi="Verdana" w:cs="Arial"/>
          <w:sz w:val="17"/>
          <w:szCs w:val="17"/>
        </w:rPr>
        <w:t>(Accessed on 26 February 2019).</w:t>
      </w:r>
    </w:p>
  </w:footnote>
  <w:footnote w:id="35">
    <w:p w14:paraId="63CCA225" w14:textId="10696D41" w:rsidR="005A0237" w:rsidRPr="0094765A" w:rsidRDefault="005A0237" w:rsidP="00964461">
      <w:pPr>
        <w:spacing w:after="0" w:line="240" w:lineRule="auto"/>
        <w:rPr>
          <w:rFonts w:ascii="Verdana" w:hAnsi="Verdana" w:cs="Arial"/>
          <w:sz w:val="17"/>
          <w:szCs w:val="17"/>
        </w:rPr>
      </w:pPr>
      <w:r w:rsidRPr="0094765A">
        <w:rPr>
          <w:rFonts w:ascii="Verdana" w:hAnsi="Verdana" w:cs="Arial"/>
          <w:sz w:val="17"/>
          <w:szCs w:val="17"/>
          <w:vertAlign w:val="superscript"/>
        </w:rPr>
        <w:footnoteRef/>
      </w:r>
      <w:r w:rsidRPr="0094765A">
        <w:rPr>
          <w:rFonts w:ascii="Verdana" w:hAnsi="Verdana" w:cs="Arial"/>
          <w:sz w:val="17"/>
          <w:szCs w:val="17"/>
        </w:rPr>
        <w:t xml:space="preserve"> Jamal Ayub,</w:t>
      </w:r>
      <w:r w:rsidRPr="0094765A">
        <w:rPr>
          <w:rFonts w:ascii="Verdana" w:hAnsi="Verdana" w:cs="Arial"/>
          <w:i/>
          <w:sz w:val="17"/>
          <w:szCs w:val="17"/>
        </w:rPr>
        <w:t xml:space="preserve"> </w:t>
      </w:r>
      <w:r>
        <w:rPr>
          <w:rFonts w:ascii="Verdana" w:hAnsi="Verdana" w:cs="Arial"/>
          <w:i/>
          <w:sz w:val="17"/>
          <w:szCs w:val="17"/>
        </w:rPr>
        <w:t>“</w:t>
      </w:r>
      <w:r w:rsidRPr="00C51ACB">
        <w:rPr>
          <w:rFonts w:ascii="Verdana" w:hAnsi="Verdana" w:cs="Arial"/>
          <w:sz w:val="17"/>
          <w:szCs w:val="17"/>
        </w:rPr>
        <w:t>Country’s first: Bhopal to have separate public toilets for transgender community</w:t>
      </w:r>
      <w:r>
        <w:rPr>
          <w:rFonts w:ascii="Verdana" w:hAnsi="Verdana" w:cs="Arial"/>
          <w:sz w:val="17"/>
          <w:szCs w:val="17"/>
        </w:rPr>
        <w:t>”</w:t>
      </w:r>
      <w:r w:rsidRPr="0094765A">
        <w:rPr>
          <w:rFonts w:ascii="Verdana" w:hAnsi="Verdana" w:cs="Arial"/>
          <w:sz w:val="17"/>
          <w:szCs w:val="17"/>
        </w:rPr>
        <w:t xml:space="preserve">, The Times of India (6 September 2016). </w:t>
      </w:r>
      <w:r w:rsidRPr="00C51ACB">
        <w:rPr>
          <w:rFonts w:ascii="Verdana" w:hAnsi="Verdana" w:cs="Arial"/>
          <w:color w:val="4472C4" w:themeColor="accent1"/>
          <w:sz w:val="17"/>
          <w:szCs w:val="17"/>
          <w:u w:val="single"/>
        </w:rPr>
        <w:t xml:space="preserve">https://timesofindia.indiatimes.com/city/bhopal/Countrys-first-Bhopal-to-have-separate-public-toilets-for-transgender-community/articleshow/54034223.cms  </w:t>
      </w:r>
      <w:r w:rsidRPr="0094765A">
        <w:rPr>
          <w:rFonts w:ascii="Verdana" w:hAnsi="Verdana" w:cs="Arial"/>
          <w:sz w:val="17"/>
          <w:szCs w:val="17"/>
        </w:rPr>
        <w:t>(Accessed on 26 February 2019).</w:t>
      </w:r>
    </w:p>
  </w:footnote>
  <w:footnote w:id="36">
    <w:p w14:paraId="3C7558BF" w14:textId="3791213E" w:rsidR="005A0237" w:rsidRPr="0094765A" w:rsidRDefault="005A0237" w:rsidP="00964461">
      <w:pPr>
        <w:spacing w:after="0" w:line="240" w:lineRule="auto"/>
        <w:rPr>
          <w:rFonts w:ascii="Verdana" w:hAnsi="Verdana" w:cs="Arial"/>
          <w:sz w:val="17"/>
          <w:szCs w:val="17"/>
        </w:rPr>
      </w:pPr>
      <w:r w:rsidRPr="0094765A">
        <w:rPr>
          <w:rFonts w:ascii="Verdana" w:hAnsi="Verdana" w:cs="Arial"/>
          <w:sz w:val="17"/>
          <w:szCs w:val="17"/>
          <w:vertAlign w:val="superscript"/>
        </w:rPr>
        <w:footnoteRef/>
      </w:r>
      <w:r w:rsidRPr="0094765A">
        <w:rPr>
          <w:rFonts w:ascii="Verdana" w:hAnsi="Verdana" w:cs="Arial"/>
          <w:sz w:val="17"/>
          <w:szCs w:val="17"/>
        </w:rPr>
        <w:t xml:space="preserve"> Mrinalika Roy, </w:t>
      </w:r>
      <w:r>
        <w:rPr>
          <w:rFonts w:ascii="Verdana" w:hAnsi="Verdana" w:cs="Arial"/>
          <w:sz w:val="17"/>
          <w:szCs w:val="17"/>
        </w:rPr>
        <w:t>“</w:t>
      </w:r>
      <w:r w:rsidRPr="009B094C">
        <w:rPr>
          <w:rFonts w:ascii="Verdana" w:hAnsi="Verdana" w:cs="Arial"/>
          <w:sz w:val="17"/>
          <w:szCs w:val="17"/>
        </w:rPr>
        <w:t>India's transgender community still waiting for toilets it was promised</w:t>
      </w:r>
      <w:r>
        <w:rPr>
          <w:rFonts w:ascii="Verdana" w:hAnsi="Verdana" w:cs="Arial"/>
          <w:sz w:val="17"/>
          <w:szCs w:val="17"/>
        </w:rPr>
        <w:t>”</w:t>
      </w:r>
      <w:r w:rsidRPr="0094765A">
        <w:rPr>
          <w:rFonts w:ascii="Verdana" w:hAnsi="Verdana" w:cs="Arial"/>
          <w:sz w:val="17"/>
          <w:szCs w:val="17"/>
        </w:rPr>
        <w:t xml:space="preserve">, Reuters (8 August 2016). </w:t>
      </w:r>
      <w:hyperlink r:id="rId10" w:history="1">
        <w:r w:rsidRPr="00C51ACB">
          <w:rPr>
            <w:rStyle w:val="Hyperlink"/>
            <w:rFonts w:ascii="Verdana" w:hAnsi="Verdana" w:cs="Arial"/>
            <w:color w:val="4472C4" w:themeColor="accent1"/>
            <w:sz w:val="17"/>
            <w:szCs w:val="17"/>
          </w:rPr>
          <w:t>https://in.reuters.com/article/india-transgender-toilets/indias-transgender-community-still-waiting-for-toilets-it-was-promised-idINKCN10J0VL</w:t>
        </w:r>
      </w:hyperlink>
      <w:r w:rsidRPr="0094765A">
        <w:rPr>
          <w:rFonts w:ascii="Verdana" w:hAnsi="Verdana" w:cs="Arial"/>
          <w:sz w:val="17"/>
          <w:szCs w:val="17"/>
        </w:rPr>
        <w:t xml:space="preserve"> (Accessed on 26 February 2019).</w:t>
      </w:r>
    </w:p>
  </w:footnote>
  <w:footnote w:id="37">
    <w:p w14:paraId="03E7ED5C" w14:textId="204F4426" w:rsidR="005A0237" w:rsidRPr="0094765A" w:rsidRDefault="005A0237" w:rsidP="00964461">
      <w:pPr>
        <w:spacing w:after="0" w:line="240" w:lineRule="auto"/>
        <w:rPr>
          <w:rFonts w:ascii="Verdana" w:hAnsi="Verdana" w:cs="Arial"/>
          <w:sz w:val="17"/>
          <w:szCs w:val="17"/>
        </w:rPr>
      </w:pPr>
      <w:r w:rsidRPr="0094765A">
        <w:rPr>
          <w:rFonts w:ascii="Verdana" w:hAnsi="Verdana" w:cs="Arial"/>
          <w:sz w:val="17"/>
          <w:szCs w:val="17"/>
          <w:vertAlign w:val="superscript"/>
        </w:rPr>
        <w:footnoteRef/>
      </w:r>
      <w:r w:rsidRPr="0094765A">
        <w:rPr>
          <w:rFonts w:ascii="Verdana" w:hAnsi="Verdana" w:cs="Arial"/>
          <w:sz w:val="17"/>
          <w:szCs w:val="17"/>
        </w:rPr>
        <w:t xml:space="preserve"> </w:t>
      </w:r>
      <w:r w:rsidRPr="00C51ACB">
        <w:rPr>
          <w:rFonts w:ascii="Verdana" w:hAnsi="Verdana" w:cs="Arial"/>
          <w:i/>
          <w:sz w:val="17"/>
          <w:szCs w:val="17"/>
        </w:rPr>
        <w:t>Milun Suryajani v. Pune Municipal Corporation</w:t>
      </w:r>
      <w:r w:rsidRPr="0094765A">
        <w:rPr>
          <w:rFonts w:ascii="Verdana" w:hAnsi="Verdana" w:cs="Arial"/>
          <w:sz w:val="17"/>
          <w:szCs w:val="17"/>
        </w:rPr>
        <w:t>, High Court of Bombay, 2016(2)ABR105.</w:t>
      </w:r>
    </w:p>
  </w:footnote>
  <w:footnote w:id="38">
    <w:p w14:paraId="540F191F" w14:textId="681BF263" w:rsidR="005A0237" w:rsidRPr="0094765A" w:rsidRDefault="005A0237" w:rsidP="00964461">
      <w:pPr>
        <w:pStyle w:val="FootnoteText"/>
        <w:rPr>
          <w:rFonts w:ascii="Verdana" w:hAnsi="Verdana" w:cs="Arial"/>
          <w:sz w:val="17"/>
          <w:szCs w:val="17"/>
          <w:lang w:val="en-US"/>
        </w:rPr>
      </w:pPr>
      <w:r w:rsidRPr="0094765A">
        <w:rPr>
          <w:rStyle w:val="FootnoteReference"/>
          <w:rFonts w:ascii="Verdana" w:hAnsi="Verdana" w:cs="Arial"/>
          <w:sz w:val="17"/>
          <w:szCs w:val="17"/>
        </w:rPr>
        <w:footnoteRef/>
      </w:r>
      <w:r w:rsidRPr="0094765A">
        <w:rPr>
          <w:rFonts w:ascii="Verdana" w:hAnsi="Verdana" w:cs="Arial"/>
          <w:sz w:val="17"/>
          <w:szCs w:val="17"/>
        </w:rPr>
        <w:t xml:space="preserve"> </w:t>
      </w:r>
      <w:r w:rsidRPr="0094765A">
        <w:rPr>
          <w:rFonts w:ascii="Verdana" w:hAnsi="Verdana" w:cs="Arial"/>
          <w:sz w:val="17"/>
          <w:szCs w:val="17"/>
          <w:lang w:val="en-US"/>
        </w:rPr>
        <w:t xml:space="preserve">Constitution of India, 1950, </w:t>
      </w:r>
      <w:r>
        <w:rPr>
          <w:rFonts w:ascii="Verdana" w:hAnsi="Verdana" w:cs="Arial"/>
          <w:sz w:val="17"/>
          <w:szCs w:val="17"/>
          <w:lang w:val="en-US"/>
        </w:rPr>
        <w:t>a</w:t>
      </w:r>
      <w:r w:rsidRPr="0094765A">
        <w:rPr>
          <w:rFonts w:ascii="Verdana" w:hAnsi="Verdana" w:cs="Arial"/>
          <w:sz w:val="17"/>
          <w:szCs w:val="17"/>
          <w:lang w:val="en-US"/>
        </w:rPr>
        <w:t>rt. 21 states, “No person shall be deprived of his life or personal liberty except according to procedure established by law.”</w:t>
      </w:r>
    </w:p>
  </w:footnote>
  <w:footnote w:id="39">
    <w:p w14:paraId="2F11AA7E" w14:textId="73E5E46A" w:rsidR="005A0237" w:rsidRPr="0094765A" w:rsidRDefault="005A0237" w:rsidP="00964461">
      <w:pPr>
        <w:pStyle w:val="FootnoteText"/>
        <w:rPr>
          <w:rFonts w:ascii="Verdana" w:hAnsi="Verdana" w:cs="Arial"/>
          <w:sz w:val="17"/>
          <w:szCs w:val="17"/>
          <w:lang w:val="en-US"/>
        </w:rPr>
      </w:pPr>
      <w:r w:rsidRPr="0094765A">
        <w:rPr>
          <w:rStyle w:val="FootnoteReference"/>
          <w:rFonts w:ascii="Verdana" w:hAnsi="Verdana" w:cs="Arial"/>
          <w:sz w:val="17"/>
          <w:szCs w:val="17"/>
        </w:rPr>
        <w:footnoteRef/>
      </w:r>
      <w:r w:rsidRPr="0094765A">
        <w:rPr>
          <w:rFonts w:ascii="Verdana" w:hAnsi="Verdana" w:cs="Arial"/>
          <w:sz w:val="17"/>
          <w:szCs w:val="17"/>
        </w:rPr>
        <w:t xml:space="preserve"> </w:t>
      </w:r>
      <w:r w:rsidRPr="0094765A">
        <w:rPr>
          <w:rFonts w:ascii="Verdana" w:hAnsi="Verdana" w:cs="Arial"/>
          <w:sz w:val="17"/>
          <w:szCs w:val="17"/>
          <w:lang w:val="en-US"/>
        </w:rPr>
        <w:t xml:space="preserve">Constitution of India, 1950, </w:t>
      </w:r>
      <w:r>
        <w:rPr>
          <w:rFonts w:ascii="Verdana" w:hAnsi="Verdana" w:cs="Arial"/>
          <w:sz w:val="17"/>
          <w:szCs w:val="17"/>
          <w:lang w:val="en-US"/>
        </w:rPr>
        <w:t>a</w:t>
      </w:r>
      <w:r w:rsidRPr="0094765A">
        <w:rPr>
          <w:rFonts w:ascii="Verdana" w:hAnsi="Verdana" w:cs="Arial"/>
          <w:sz w:val="17"/>
          <w:szCs w:val="17"/>
          <w:lang w:val="en-US"/>
        </w:rPr>
        <w:t>rt. 47 states, “The State shall regard the raising of the level of nutrition and the standard of living of its people and the improvement of public health as among its primary duties and, in particular, the State shall endeavour to bring about prohibition of the consumption except for medicinal purposes of intoxicating drinks and of drugs which are injurious to health.”</w:t>
      </w:r>
    </w:p>
  </w:footnote>
  <w:footnote w:id="40">
    <w:p w14:paraId="0E2BA7CA" w14:textId="5578B8CF" w:rsidR="005A0237" w:rsidRPr="0094765A" w:rsidRDefault="005A0237" w:rsidP="00964461">
      <w:pPr>
        <w:spacing w:after="0" w:line="240" w:lineRule="auto"/>
        <w:rPr>
          <w:rFonts w:ascii="Verdana" w:hAnsi="Verdana" w:cs="Arial"/>
          <w:sz w:val="17"/>
          <w:szCs w:val="17"/>
        </w:rPr>
      </w:pPr>
      <w:r w:rsidRPr="0094765A">
        <w:rPr>
          <w:rFonts w:ascii="Verdana" w:hAnsi="Verdana" w:cs="Arial"/>
          <w:sz w:val="17"/>
          <w:szCs w:val="17"/>
          <w:vertAlign w:val="superscript"/>
        </w:rPr>
        <w:footnoteRef/>
      </w:r>
      <w:r w:rsidRPr="0094765A">
        <w:rPr>
          <w:rFonts w:ascii="Verdana" w:hAnsi="Verdana" w:cs="Arial"/>
          <w:sz w:val="17"/>
          <w:szCs w:val="17"/>
        </w:rPr>
        <w:t xml:space="preserve"> </w:t>
      </w:r>
      <w:r w:rsidRPr="00C51ACB">
        <w:rPr>
          <w:rFonts w:ascii="Verdana" w:hAnsi="Verdana" w:cs="Arial"/>
          <w:i/>
          <w:sz w:val="17"/>
          <w:szCs w:val="17"/>
        </w:rPr>
        <w:t>NALSA</w:t>
      </w:r>
      <w:r w:rsidRPr="0094765A">
        <w:rPr>
          <w:rFonts w:ascii="Verdana" w:hAnsi="Verdana" w:cs="Arial"/>
          <w:sz w:val="17"/>
          <w:szCs w:val="17"/>
        </w:rPr>
        <w:t>, para 129(6) states “The Centre and State Governments should take proper measures to provide medical care to TGs in the hospitals and also provide, them separate public toilets and other facilities.”</w:t>
      </w:r>
    </w:p>
  </w:footnote>
  <w:footnote w:id="41">
    <w:p w14:paraId="3BD0B3F8" w14:textId="1356B23F" w:rsidR="005A0237" w:rsidRPr="0094765A" w:rsidRDefault="005A0237" w:rsidP="00964461">
      <w:pPr>
        <w:spacing w:after="0" w:line="240" w:lineRule="auto"/>
        <w:rPr>
          <w:rFonts w:ascii="Verdana" w:eastAsia="Garamond" w:hAnsi="Verdana" w:cs="Arial"/>
          <w:sz w:val="17"/>
          <w:szCs w:val="17"/>
        </w:rPr>
      </w:pPr>
      <w:r w:rsidRPr="0094765A">
        <w:rPr>
          <w:rFonts w:ascii="Verdana" w:hAnsi="Verdana" w:cs="Arial"/>
          <w:sz w:val="17"/>
          <w:szCs w:val="17"/>
          <w:vertAlign w:val="superscript"/>
        </w:rPr>
        <w:footnoteRef/>
      </w:r>
      <w:r w:rsidRPr="0094765A">
        <w:rPr>
          <w:rFonts w:ascii="Verdana" w:eastAsia="Garamond" w:hAnsi="Verdana" w:cs="Arial"/>
          <w:sz w:val="17"/>
          <w:szCs w:val="17"/>
        </w:rPr>
        <w:t xml:space="preserve"> </w:t>
      </w:r>
      <w:r>
        <w:rPr>
          <w:rFonts w:ascii="Verdana" w:eastAsia="Garamond" w:hAnsi="Verdana" w:cs="Arial"/>
          <w:sz w:val="17"/>
          <w:szCs w:val="17"/>
        </w:rPr>
        <w:t>“</w:t>
      </w:r>
      <w:r w:rsidRPr="00C51ACB">
        <w:rPr>
          <w:rFonts w:ascii="Verdana" w:eastAsia="Garamond" w:hAnsi="Verdana" w:cs="Arial"/>
          <w:sz w:val="17"/>
          <w:szCs w:val="17"/>
        </w:rPr>
        <w:t>Madras HC directs Tamil Nadu govet to build public toilets for transgenders</w:t>
      </w:r>
      <w:r>
        <w:rPr>
          <w:rFonts w:ascii="Verdana" w:eastAsia="Garamond" w:hAnsi="Verdana" w:cs="Arial"/>
          <w:sz w:val="17"/>
          <w:szCs w:val="17"/>
        </w:rPr>
        <w:t>”</w:t>
      </w:r>
      <w:r w:rsidRPr="0094765A">
        <w:rPr>
          <w:rFonts w:ascii="Verdana" w:eastAsia="Garamond" w:hAnsi="Verdana" w:cs="Arial"/>
          <w:sz w:val="17"/>
          <w:szCs w:val="17"/>
        </w:rPr>
        <w:t xml:space="preserve">, Hindustan Times (4 April 2017). </w:t>
      </w:r>
      <w:hyperlink r:id="rId11" w:history="1">
        <w:r w:rsidRPr="00C51ACB">
          <w:rPr>
            <w:rStyle w:val="Hyperlink"/>
            <w:rFonts w:ascii="Verdana" w:eastAsia="Garamond" w:hAnsi="Verdana" w:cs="Arial"/>
            <w:color w:val="4472C4" w:themeColor="accent1"/>
            <w:sz w:val="17"/>
            <w:szCs w:val="17"/>
          </w:rPr>
          <w:t>https://www.hindustantimes.com/india-news/madras-hc-directs-tamil-nadu-govt-to-build-public-toilets-for-transgenders/story-eVlLHoEpkF5RiHwhEF05iL.html</w:t>
        </w:r>
      </w:hyperlink>
      <w:r w:rsidRPr="0094765A">
        <w:rPr>
          <w:rFonts w:ascii="Verdana" w:eastAsia="Garamond" w:hAnsi="Verdana" w:cs="Arial"/>
          <w:sz w:val="17"/>
          <w:szCs w:val="17"/>
        </w:rPr>
        <w:t xml:space="preserve"> (Accessed on 26 February 2019).</w:t>
      </w:r>
    </w:p>
  </w:footnote>
  <w:footnote w:id="42">
    <w:p w14:paraId="4D6EFD4D" w14:textId="11A3FA2B" w:rsidR="005A0237" w:rsidRPr="0094765A" w:rsidRDefault="005A0237" w:rsidP="00964461">
      <w:pPr>
        <w:spacing w:after="0" w:line="240" w:lineRule="auto"/>
        <w:rPr>
          <w:rFonts w:ascii="Verdana" w:hAnsi="Verdana" w:cs="Arial"/>
          <w:sz w:val="17"/>
          <w:szCs w:val="17"/>
        </w:rPr>
      </w:pPr>
      <w:r w:rsidRPr="0094765A">
        <w:rPr>
          <w:rFonts w:ascii="Verdana" w:hAnsi="Verdana" w:cs="Arial"/>
          <w:sz w:val="17"/>
          <w:szCs w:val="17"/>
          <w:vertAlign w:val="superscript"/>
        </w:rPr>
        <w:footnoteRef/>
      </w:r>
      <w:r w:rsidRPr="0094765A">
        <w:rPr>
          <w:rFonts w:ascii="Verdana" w:hAnsi="Verdana" w:cs="Arial"/>
          <w:sz w:val="17"/>
          <w:szCs w:val="17"/>
        </w:rPr>
        <w:t xml:space="preserve"> </w:t>
      </w:r>
      <w:r w:rsidRPr="00C51ACB">
        <w:rPr>
          <w:rFonts w:ascii="Verdana" w:hAnsi="Verdana" w:cs="Arial"/>
          <w:i/>
          <w:sz w:val="17"/>
          <w:szCs w:val="17"/>
        </w:rPr>
        <w:t>Vincent Panikurlangara v. Union of India</w:t>
      </w:r>
      <w:r w:rsidRPr="0094765A">
        <w:rPr>
          <w:rFonts w:ascii="Verdana" w:hAnsi="Verdana" w:cs="Arial"/>
          <w:sz w:val="17"/>
          <w:szCs w:val="17"/>
        </w:rPr>
        <w:t>,</w:t>
      </w:r>
      <w:r w:rsidRPr="009766E2">
        <w:rPr>
          <w:rFonts w:ascii="Verdana" w:hAnsi="Verdana" w:cs="Arial"/>
          <w:sz w:val="17"/>
          <w:szCs w:val="17"/>
        </w:rPr>
        <w:t xml:space="preserve"> </w:t>
      </w:r>
      <w:r w:rsidRPr="0094765A">
        <w:rPr>
          <w:rFonts w:ascii="Verdana" w:hAnsi="Verdana" w:cs="Arial"/>
          <w:sz w:val="17"/>
          <w:szCs w:val="17"/>
        </w:rPr>
        <w:t>Supreme Court of India</w:t>
      </w:r>
      <w:r>
        <w:rPr>
          <w:rFonts w:ascii="Verdana" w:hAnsi="Verdana" w:cs="Arial"/>
          <w:sz w:val="17"/>
          <w:szCs w:val="17"/>
        </w:rPr>
        <w:t>,</w:t>
      </w:r>
      <w:r w:rsidRPr="0094765A">
        <w:rPr>
          <w:rFonts w:ascii="Verdana" w:hAnsi="Verdana" w:cs="Arial"/>
          <w:sz w:val="17"/>
          <w:szCs w:val="17"/>
        </w:rPr>
        <w:t xml:space="preserve"> AIR1987SC990;, </w:t>
      </w:r>
      <w:r w:rsidRPr="00C51ACB">
        <w:rPr>
          <w:rFonts w:ascii="Verdana" w:hAnsi="Verdana" w:cs="Arial"/>
          <w:i/>
          <w:sz w:val="17"/>
          <w:szCs w:val="17"/>
        </w:rPr>
        <w:t>Virender Gaur v. State of Haryana,</w:t>
      </w:r>
      <w:r w:rsidRPr="009766E2">
        <w:rPr>
          <w:rFonts w:ascii="Verdana" w:hAnsi="Verdana" w:cs="Arial"/>
          <w:sz w:val="17"/>
          <w:szCs w:val="17"/>
        </w:rPr>
        <w:t xml:space="preserve"> </w:t>
      </w:r>
      <w:r w:rsidRPr="0094765A">
        <w:rPr>
          <w:rFonts w:ascii="Verdana" w:hAnsi="Verdana" w:cs="Arial"/>
          <w:sz w:val="17"/>
          <w:szCs w:val="17"/>
        </w:rPr>
        <w:t>Supreme Court of India (1995)2 SCC 577, para 7 states, “…Article 21 protects the right to life as a fundamental right. Enjoyment of life and its attainment including the right to life with human dignity encompasses within its ambit...sanitation without which life cannot be enjoyed.”</w:t>
      </w:r>
    </w:p>
  </w:footnote>
  <w:footnote w:id="43">
    <w:p w14:paraId="3B38CE96" w14:textId="387264A4" w:rsidR="005A0237" w:rsidRPr="00C51ACB" w:rsidRDefault="005A0237" w:rsidP="00964461">
      <w:pPr>
        <w:pStyle w:val="FootnoteText"/>
        <w:rPr>
          <w:rFonts w:ascii="Verdana" w:hAnsi="Verdana"/>
          <w:sz w:val="17"/>
          <w:szCs w:val="17"/>
          <w:lang w:val="en-US"/>
        </w:rPr>
      </w:pPr>
      <w:r w:rsidRPr="0094765A">
        <w:rPr>
          <w:rStyle w:val="FootnoteReference"/>
          <w:rFonts w:ascii="Verdana" w:hAnsi="Verdana"/>
          <w:sz w:val="17"/>
          <w:szCs w:val="17"/>
        </w:rPr>
        <w:footnoteRef/>
      </w:r>
      <w:r w:rsidRPr="0094765A">
        <w:rPr>
          <w:rFonts w:ascii="Verdana" w:hAnsi="Verdana"/>
          <w:sz w:val="17"/>
          <w:szCs w:val="17"/>
        </w:rPr>
        <w:t xml:space="preserve"> </w:t>
      </w:r>
      <w:r w:rsidRPr="00C51ACB">
        <w:rPr>
          <w:rFonts w:ascii="Verdana" w:hAnsi="Verdana"/>
          <w:i/>
          <w:sz w:val="17"/>
          <w:szCs w:val="17"/>
        </w:rPr>
        <w:t>Navtej Johar</w:t>
      </w:r>
      <w:r w:rsidRPr="0094765A">
        <w:rPr>
          <w:rFonts w:ascii="Verdana" w:hAnsi="Verdana"/>
          <w:sz w:val="17"/>
          <w:szCs w:val="17"/>
        </w:rPr>
        <w:t xml:space="preserve">, </w:t>
      </w:r>
      <w:r w:rsidRPr="0094765A">
        <w:rPr>
          <w:rFonts w:ascii="Verdana" w:hAnsi="Verdana" w:cs="Arial"/>
          <w:sz w:val="17"/>
          <w:szCs w:val="17"/>
        </w:rPr>
        <w:t>para 456.</w:t>
      </w:r>
    </w:p>
  </w:footnote>
  <w:footnote w:id="44">
    <w:p w14:paraId="4892963E" w14:textId="44E13857" w:rsidR="005A0237" w:rsidRPr="00C51ACB" w:rsidRDefault="005A0237" w:rsidP="00964461">
      <w:pPr>
        <w:pStyle w:val="FootnoteText"/>
        <w:rPr>
          <w:rFonts w:ascii="Verdana" w:hAnsi="Verdana"/>
          <w:sz w:val="17"/>
          <w:szCs w:val="17"/>
          <w:lang w:val="en-US"/>
        </w:rPr>
      </w:pPr>
      <w:r w:rsidRPr="00C51ACB">
        <w:rPr>
          <w:rStyle w:val="FootnoteReference"/>
          <w:rFonts w:ascii="Verdana" w:hAnsi="Verdana"/>
          <w:sz w:val="17"/>
          <w:szCs w:val="17"/>
        </w:rPr>
        <w:footnoteRef/>
      </w:r>
      <w:r w:rsidRPr="00C51ACB">
        <w:rPr>
          <w:rFonts w:ascii="Verdana" w:hAnsi="Verdana"/>
          <w:sz w:val="17"/>
          <w:szCs w:val="17"/>
        </w:rPr>
        <w:t xml:space="preserve"> </w:t>
      </w:r>
      <w:r w:rsidRPr="00C51ACB">
        <w:rPr>
          <w:rFonts w:ascii="Verdana" w:hAnsi="Verdana"/>
          <w:i/>
          <w:sz w:val="17"/>
          <w:szCs w:val="17"/>
        </w:rPr>
        <w:t>Id</w:t>
      </w:r>
      <w:r w:rsidRPr="00C51ACB">
        <w:rPr>
          <w:rFonts w:ascii="Verdana" w:hAnsi="Verdana"/>
          <w:sz w:val="17"/>
          <w:szCs w:val="17"/>
        </w:rPr>
        <w:t>, para 113.</w:t>
      </w:r>
    </w:p>
  </w:footnote>
  <w:footnote w:id="45">
    <w:p w14:paraId="6D6AB429" w14:textId="2E389427" w:rsidR="005A0237" w:rsidRPr="00C51ACB" w:rsidRDefault="005A0237" w:rsidP="00964461">
      <w:pPr>
        <w:pStyle w:val="FootnoteText"/>
        <w:rPr>
          <w:rFonts w:ascii="Verdana" w:hAnsi="Verdana"/>
          <w:sz w:val="17"/>
          <w:szCs w:val="17"/>
          <w:lang w:val="en-US"/>
        </w:rPr>
      </w:pPr>
      <w:r w:rsidRPr="0094765A">
        <w:rPr>
          <w:rStyle w:val="FootnoteReference"/>
          <w:rFonts w:ascii="Verdana" w:hAnsi="Verdana"/>
          <w:sz w:val="17"/>
          <w:szCs w:val="17"/>
        </w:rPr>
        <w:footnoteRef/>
      </w:r>
      <w:r w:rsidRPr="0094765A">
        <w:rPr>
          <w:rFonts w:ascii="Verdana" w:hAnsi="Verdana"/>
          <w:sz w:val="17"/>
          <w:szCs w:val="17"/>
        </w:rPr>
        <w:t xml:space="preserve"> </w:t>
      </w:r>
      <w:r w:rsidRPr="00C51ACB">
        <w:rPr>
          <w:rFonts w:ascii="Verdana" w:hAnsi="Verdana"/>
          <w:i/>
          <w:sz w:val="17"/>
          <w:szCs w:val="17"/>
          <w:lang w:val="en-US"/>
        </w:rPr>
        <w:t>Id</w:t>
      </w:r>
      <w:r w:rsidRPr="0094765A">
        <w:rPr>
          <w:rFonts w:ascii="Verdana" w:hAnsi="Verdana"/>
          <w:sz w:val="17"/>
          <w:szCs w:val="17"/>
          <w:lang w:val="en-US"/>
        </w:rPr>
        <w:t xml:space="preserve">, </w:t>
      </w:r>
      <w:r w:rsidRPr="0094765A">
        <w:rPr>
          <w:rFonts w:ascii="Verdana" w:hAnsi="Verdana"/>
          <w:sz w:val="17"/>
          <w:szCs w:val="17"/>
        </w:rPr>
        <w:t xml:space="preserve">para 51.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00C82"/>
    <w:multiLevelType w:val="hybridMultilevel"/>
    <w:tmpl w:val="26C24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4F7506"/>
    <w:multiLevelType w:val="hybridMultilevel"/>
    <w:tmpl w:val="AD7C0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077F7F"/>
    <w:multiLevelType w:val="multilevel"/>
    <w:tmpl w:val="168C7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D61108"/>
    <w:multiLevelType w:val="hybridMultilevel"/>
    <w:tmpl w:val="05D41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3F5725"/>
    <w:multiLevelType w:val="hybridMultilevel"/>
    <w:tmpl w:val="F4E6A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C23DF0"/>
    <w:multiLevelType w:val="hybridMultilevel"/>
    <w:tmpl w:val="A9D0FD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AE2984"/>
    <w:multiLevelType w:val="multilevel"/>
    <w:tmpl w:val="B9F0A8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4F41C5"/>
    <w:multiLevelType w:val="hybridMultilevel"/>
    <w:tmpl w:val="B7C47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CC0258"/>
    <w:multiLevelType w:val="hybridMultilevel"/>
    <w:tmpl w:val="4CA4A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3960B0"/>
    <w:multiLevelType w:val="multilevel"/>
    <w:tmpl w:val="16E25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631A67"/>
    <w:multiLevelType w:val="hybridMultilevel"/>
    <w:tmpl w:val="1E4A7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DB08D9"/>
    <w:multiLevelType w:val="multilevel"/>
    <w:tmpl w:val="353EF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C75AB1"/>
    <w:multiLevelType w:val="multilevel"/>
    <w:tmpl w:val="194A7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F12939"/>
    <w:multiLevelType w:val="hybridMultilevel"/>
    <w:tmpl w:val="E528B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53491D"/>
    <w:multiLevelType w:val="hybridMultilevel"/>
    <w:tmpl w:val="5FCEE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1152E5"/>
    <w:multiLevelType w:val="hybridMultilevel"/>
    <w:tmpl w:val="AE14A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2C2755"/>
    <w:multiLevelType w:val="hybridMultilevel"/>
    <w:tmpl w:val="E97CC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0E0807"/>
    <w:multiLevelType w:val="hybridMultilevel"/>
    <w:tmpl w:val="512C7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BD4C89"/>
    <w:multiLevelType w:val="hybridMultilevel"/>
    <w:tmpl w:val="D0EEF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033675"/>
    <w:multiLevelType w:val="hybridMultilevel"/>
    <w:tmpl w:val="CAB28C0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nsid w:val="69787535"/>
    <w:multiLevelType w:val="hybridMultilevel"/>
    <w:tmpl w:val="9F24B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832070"/>
    <w:multiLevelType w:val="hybridMultilevel"/>
    <w:tmpl w:val="1BDADAC6"/>
    <w:lvl w:ilvl="0" w:tplc="21E6EB1A">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A4612F"/>
    <w:multiLevelType w:val="hybridMultilevel"/>
    <w:tmpl w:val="6420ACE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5F4ED6"/>
    <w:multiLevelType w:val="hybridMultilevel"/>
    <w:tmpl w:val="4C968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984A7E"/>
    <w:multiLevelType w:val="hybridMultilevel"/>
    <w:tmpl w:val="16C4C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51F7E30"/>
    <w:multiLevelType w:val="hybridMultilevel"/>
    <w:tmpl w:val="96302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72733F"/>
    <w:multiLevelType w:val="hybridMultilevel"/>
    <w:tmpl w:val="28E68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98A6D38"/>
    <w:multiLevelType w:val="hybridMultilevel"/>
    <w:tmpl w:val="861E9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AB303C7"/>
    <w:multiLevelType w:val="hybridMultilevel"/>
    <w:tmpl w:val="34F29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AF97B6F"/>
    <w:multiLevelType w:val="hybridMultilevel"/>
    <w:tmpl w:val="A9441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540404"/>
    <w:multiLevelType w:val="multilevel"/>
    <w:tmpl w:val="7E6A2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9"/>
  </w:num>
  <w:num w:numId="3">
    <w:abstractNumId w:val="2"/>
  </w:num>
  <w:num w:numId="4">
    <w:abstractNumId w:val="6"/>
  </w:num>
  <w:num w:numId="5">
    <w:abstractNumId w:val="6"/>
    <w:lvlOverride w:ilvl="1">
      <w:lvl w:ilvl="1">
        <w:numFmt w:val="bullet"/>
        <w:lvlText w:val=""/>
        <w:lvlJc w:val="left"/>
        <w:pPr>
          <w:tabs>
            <w:tab w:val="num" w:pos="1440"/>
          </w:tabs>
          <w:ind w:left="1440" w:hanging="360"/>
        </w:pPr>
        <w:rPr>
          <w:rFonts w:ascii="Symbol" w:hAnsi="Symbol" w:hint="default"/>
          <w:sz w:val="20"/>
        </w:rPr>
      </w:lvl>
    </w:lvlOverride>
  </w:num>
  <w:num w:numId="6">
    <w:abstractNumId w:val="12"/>
  </w:num>
  <w:num w:numId="7">
    <w:abstractNumId w:val="30"/>
  </w:num>
  <w:num w:numId="8">
    <w:abstractNumId w:val="5"/>
  </w:num>
  <w:num w:numId="9">
    <w:abstractNumId w:val="18"/>
  </w:num>
  <w:num w:numId="10">
    <w:abstractNumId w:val="28"/>
  </w:num>
  <w:num w:numId="11">
    <w:abstractNumId w:val="29"/>
  </w:num>
  <w:num w:numId="12">
    <w:abstractNumId w:val="24"/>
  </w:num>
  <w:num w:numId="13">
    <w:abstractNumId w:val="25"/>
  </w:num>
  <w:num w:numId="14">
    <w:abstractNumId w:val="21"/>
  </w:num>
  <w:num w:numId="15">
    <w:abstractNumId w:val="10"/>
  </w:num>
  <w:num w:numId="16">
    <w:abstractNumId w:val="19"/>
  </w:num>
  <w:num w:numId="17">
    <w:abstractNumId w:val="14"/>
  </w:num>
  <w:num w:numId="18">
    <w:abstractNumId w:val="15"/>
  </w:num>
  <w:num w:numId="19">
    <w:abstractNumId w:val="27"/>
  </w:num>
  <w:num w:numId="20">
    <w:abstractNumId w:val="8"/>
  </w:num>
  <w:num w:numId="21">
    <w:abstractNumId w:val="1"/>
  </w:num>
  <w:num w:numId="22">
    <w:abstractNumId w:val="26"/>
  </w:num>
  <w:num w:numId="23">
    <w:abstractNumId w:val="23"/>
  </w:num>
  <w:num w:numId="24">
    <w:abstractNumId w:val="21"/>
    <w:lvlOverride w:ilvl="0">
      <w:startOverride w:val="8"/>
    </w:lvlOverride>
  </w:num>
  <w:num w:numId="25">
    <w:abstractNumId w:val="13"/>
  </w:num>
  <w:num w:numId="26">
    <w:abstractNumId w:val="22"/>
  </w:num>
  <w:num w:numId="27">
    <w:abstractNumId w:val="7"/>
  </w:num>
  <w:num w:numId="28">
    <w:abstractNumId w:val="0"/>
  </w:num>
  <w:num w:numId="29">
    <w:abstractNumId w:val="17"/>
  </w:num>
  <w:num w:numId="30">
    <w:abstractNumId w:val="3"/>
  </w:num>
  <w:num w:numId="31">
    <w:abstractNumId w:val="4"/>
  </w:num>
  <w:num w:numId="32">
    <w:abstractNumId w:val="20"/>
  </w:num>
  <w:num w:numId="33">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umya Maheshwari">
    <w15:presenceInfo w15:providerId="Windows Live" w15:userId="61fe0e0d720987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BE2"/>
    <w:rsid w:val="000255CB"/>
    <w:rsid w:val="00063C93"/>
    <w:rsid w:val="00064F2B"/>
    <w:rsid w:val="00072637"/>
    <w:rsid w:val="00077D25"/>
    <w:rsid w:val="00083A8E"/>
    <w:rsid w:val="00084A0E"/>
    <w:rsid w:val="000875B0"/>
    <w:rsid w:val="000B2152"/>
    <w:rsid w:val="000B47BC"/>
    <w:rsid w:val="000B69EF"/>
    <w:rsid w:val="000C00AD"/>
    <w:rsid w:val="000F2E2F"/>
    <w:rsid w:val="00101B63"/>
    <w:rsid w:val="00125B68"/>
    <w:rsid w:val="00137EC0"/>
    <w:rsid w:val="00150A50"/>
    <w:rsid w:val="001540D0"/>
    <w:rsid w:val="00161090"/>
    <w:rsid w:val="00167837"/>
    <w:rsid w:val="00173D50"/>
    <w:rsid w:val="00174E39"/>
    <w:rsid w:val="001864F3"/>
    <w:rsid w:val="001915F4"/>
    <w:rsid w:val="001947BE"/>
    <w:rsid w:val="001A0C3F"/>
    <w:rsid w:val="001B0568"/>
    <w:rsid w:val="001C5597"/>
    <w:rsid w:val="001E2C4D"/>
    <w:rsid w:val="001E34E1"/>
    <w:rsid w:val="002050A4"/>
    <w:rsid w:val="00213AB0"/>
    <w:rsid w:val="0021471D"/>
    <w:rsid w:val="00224C33"/>
    <w:rsid w:val="00225A8A"/>
    <w:rsid w:val="00240C95"/>
    <w:rsid w:val="00241674"/>
    <w:rsid w:val="00241ACC"/>
    <w:rsid w:val="00244BF5"/>
    <w:rsid w:val="0029077A"/>
    <w:rsid w:val="00291663"/>
    <w:rsid w:val="0029683B"/>
    <w:rsid w:val="002A5F41"/>
    <w:rsid w:val="002B5086"/>
    <w:rsid w:val="002C3BA8"/>
    <w:rsid w:val="002D40C2"/>
    <w:rsid w:val="002E0260"/>
    <w:rsid w:val="002E286D"/>
    <w:rsid w:val="0030122C"/>
    <w:rsid w:val="003019E5"/>
    <w:rsid w:val="00307373"/>
    <w:rsid w:val="0031000B"/>
    <w:rsid w:val="00325168"/>
    <w:rsid w:val="003317C2"/>
    <w:rsid w:val="00333917"/>
    <w:rsid w:val="00337B38"/>
    <w:rsid w:val="0035354A"/>
    <w:rsid w:val="00353618"/>
    <w:rsid w:val="0038081D"/>
    <w:rsid w:val="00387A27"/>
    <w:rsid w:val="003C43EB"/>
    <w:rsid w:val="003E0716"/>
    <w:rsid w:val="003E561A"/>
    <w:rsid w:val="003F569F"/>
    <w:rsid w:val="003F65F4"/>
    <w:rsid w:val="00424CA7"/>
    <w:rsid w:val="00443F3F"/>
    <w:rsid w:val="004565E2"/>
    <w:rsid w:val="00462743"/>
    <w:rsid w:val="00475B8B"/>
    <w:rsid w:val="00484D37"/>
    <w:rsid w:val="004949BD"/>
    <w:rsid w:val="004A06DC"/>
    <w:rsid w:val="004A33EC"/>
    <w:rsid w:val="004A6851"/>
    <w:rsid w:val="004B2E9B"/>
    <w:rsid w:val="004B34D0"/>
    <w:rsid w:val="004C5771"/>
    <w:rsid w:val="004D55CE"/>
    <w:rsid w:val="004E2B09"/>
    <w:rsid w:val="004E3A6E"/>
    <w:rsid w:val="004E6316"/>
    <w:rsid w:val="004F1660"/>
    <w:rsid w:val="004F2780"/>
    <w:rsid w:val="004F7DA9"/>
    <w:rsid w:val="0052326C"/>
    <w:rsid w:val="0053738A"/>
    <w:rsid w:val="00545B32"/>
    <w:rsid w:val="00560828"/>
    <w:rsid w:val="00570BDD"/>
    <w:rsid w:val="00577389"/>
    <w:rsid w:val="00596FA2"/>
    <w:rsid w:val="005974CF"/>
    <w:rsid w:val="005A0237"/>
    <w:rsid w:val="005A72B9"/>
    <w:rsid w:val="005B1A7F"/>
    <w:rsid w:val="005C42BF"/>
    <w:rsid w:val="005C4FB7"/>
    <w:rsid w:val="0060006E"/>
    <w:rsid w:val="0061748C"/>
    <w:rsid w:val="00626BC7"/>
    <w:rsid w:val="00640088"/>
    <w:rsid w:val="00644E0B"/>
    <w:rsid w:val="0065284F"/>
    <w:rsid w:val="00653714"/>
    <w:rsid w:val="00660A0E"/>
    <w:rsid w:val="006612B9"/>
    <w:rsid w:val="00662C33"/>
    <w:rsid w:val="006837B9"/>
    <w:rsid w:val="00691044"/>
    <w:rsid w:val="00693DBE"/>
    <w:rsid w:val="006B2FA4"/>
    <w:rsid w:val="006C2935"/>
    <w:rsid w:val="00700CE6"/>
    <w:rsid w:val="00722500"/>
    <w:rsid w:val="00727E69"/>
    <w:rsid w:val="0073210B"/>
    <w:rsid w:val="0073215C"/>
    <w:rsid w:val="00751293"/>
    <w:rsid w:val="0077716C"/>
    <w:rsid w:val="00780F60"/>
    <w:rsid w:val="00781B8D"/>
    <w:rsid w:val="00790A16"/>
    <w:rsid w:val="007A1607"/>
    <w:rsid w:val="007A3FFE"/>
    <w:rsid w:val="007D16F6"/>
    <w:rsid w:val="00801334"/>
    <w:rsid w:val="00823F54"/>
    <w:rsid w:val="008344E6"/>
    <w:rsid w:val="00840E07"/>
    <w:rsid w:val="00865041"/>
    <w:rsid w:val="00865989"/>
    <w:rsid w:val="008723B6"/>
    <w:rsid w:val="00875A25"/>
    <w:rsid w:val="00877BE2"/>
    <w:rsid w:val="00886F3E"/>
    <w:rsid w:val="0088789B"/>
    <w:rsid w:val="008B29E4"/>
    <w:rsid w:val="008C181A"/>
    <w:rsid w:val="008C1E8D"/>
    <w:rsid w:val="008D470C"/>
    <w:rsid w:val="008F22C8"/>
    <w:rsid w:val="00920B32"/>
    <w:rsid w:val="00936590"/>
    <w:rsid w:val="009462FC"/>
    <w:rsid w:val="0094765A"/>
    <w:rsid w:val="00954C98"/>
    <w:rsid w:val="00964461"/>
    <w:rsid w:val="00965514"/>
    <w:rsid w:val="00970849"/>
    <w:rsid w:val="0097591F"/>
    <w:rsid w:val="009766E2"/>
    <w:rsid w:val="00980FDE"/>
    <w:rsid w:val="009B094C"/>
    <w:rsid w:val="009B2FC2"/>
    <w:rsid w:val="009D59E3"/>
    <w:rsid w:val="009D7BFF"/>
    <w:rsid w:val="009E196F"/>
    <w:rsid w:val="009E24F2"/>
    <w:rsid w:val="009F373D"/>
    <w:rsid w:val="00A12092"/>
    <w:rsid w:val="00A14993"/>
    <w:rsid w:val="00A16847"/>
    <w:rsid w:val="00A178DA"/>
    <w:rsid w:val="00A2381A"/>
    <w:rsid w:val="00A24164"/>
    <w:rsid w:val="00A261F9"/>
    <w:rsid w:val="00A34A87"/>
    <w:rsid w:val="00A34E96"/>
    <w:rsid w:val="00A35450"/>
    <w:rsid w:val="00A47B4E"/>
    <w:rsid w:val="00A55087"/>
    <w:rsid w:val="00A60ED7"/>
    <w:rsid w:val="00A64A87"/>
    <w:rsid w:val="00A774B5"/>
    <w:rsid w:val="00A83683"/>
    <w:rsid w:val="00A83ED8"/>
    <w:rsid w:val="00A90A41"/>
    <w:rsid w:val="00A93427"/>
    <w:rsid w:val="00A965B2"/>
    <w:rsid w:val="00AC7391"/>
    <w:rsid w:val="00AF4DF1"/>
    <w:rsid w:val="00B00B07"/>
    <w:rsid w:val="00B013DD"/>
    <w:rsid w:val="00B0298C"/>
    <w:rsid w:val="00B22DCE"/>
    <w:rsid w:val="00B34D52"/>
    <w:rsid w:val="00B35475"/>
    <w:rsid w:val="00B56C94"/>
    <w:rsid w:val="00B57CBB"/>
    <w:rsid w:val="00B60B20"/>
    <w:rsid w:val="00B837C7"/>
    <w:rsid w:val="00B83995"/>
    <w:rsid w:val="00BA48D2"/>
    <w:rsid w:val="00BC2A4B"/>
    <w:rsid w:val="00BE03C9"/>
    <w:rsid w:val="00BF0A09"/>
    <w:rsid w:val="00C233BD"/>
    <w:rsid w:val="00C46FF6"/>
    <w:rsid w:val="00C51ACB"/>
    <w:rsid w:val="00C51DA4"/>
    <w:rsid w:val="00C613CE"/>
    <w:rsid w:val="00C86D33"/>
    <w:rsid w:val="00C86DD1"/>
    <w:rsid w:val="00C87F2A"/>
    <w:rsid w:val="00CB1665"/>
    <w:rsid w:val="00CC0372"/>
    <w:rsid w:val="00CF02CE"/>
    <w:rsid w:val="00CF36AF"/>
    <w:rsid w:val="00D23ED3"/>
    <w:rsid w:val="00D67EB7"/>
    <w:rsid w:val="00D7417B"/>
    <w:rsid w:val="00D760A3"/>
    <w:rsid w:val="00D822F9"/>
    <w:rsid w:val="00D97739"/>
    <w:rsid w:val="00DA16E1"/>
    <w:rsid w:val="00DC2237"/>
    <w:rsid w:val="00DD76EB"/>
    <w:rsid w:val="00DE0182"/>
    <w:rsid w:val="00E01D6D"/>
    <w:rsid w:val="00E07996"/>
    <w:rsid w:val="00E12E73"/>
    <w:rsid w:val="00E422E8"/>
    <w:rsid w:val="00E53A73"/>
    <w:rsid w:val="00E71622"/>
    <w:rsid w:val="00E82F09"/>
    <w:rsid w:val="00ED280F"/>
    <w:rsid w:val="00EE2676"/>
    <w:rsid w:val="00EF0A1C"/>
    <w:rsid w:val="00F22683"/>
    <w:rsid w:val="00F3503F"/>
    <w:rsid w:val="00F83E6E"/>
    <w:rsid w:val="00F939DA"/>
    <w:rsid w:val="00F96C74"/>
    <w:rsid w:val="00FB13F5"/>
    <w:rsid w:val="00FB49BB"/>
    <w:rsid w:val="00FC1CB6"/>
    <w:rsid w:val="00FC6BAA"/>
    <w:rsid w:val="00FD228B"/>
    <w:rsid w:val="00FF140B"/>
    <w:rsid w:val="00FF6CE1"/>
    <w:rsid w:val="00FF70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C077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5B2"/>
    <w:pPr>
      <w:spacing w:line="276" w:lineRule="auto"/>
      <w:jc w:val="both"/>
    </w:pPr>
    <w:rPr>
      <w:rFonts w:ascii="Arial" w:hAnsi="Arial"/>
    </w:rPr>
  </w:style>
  <w:style w:type="paragraph" w:styleId="Heading1">
    <w:name w:val="heading 1"/>
    <w:basedOn w:val="Normal"/>
    <w:next w:val="Normal"/>
    <w:link w:val="Heading1Char"/>
    <w:uiPriority w:val="9"/>
    <w:qFormat/>
    <w:rsid w:val="00B00B07"/>
    <w:pPr>
      <w:keepNext/>
      <w:keepLines/>
      <w:numPr>
        <w:numId w:val="14"/>
      </w:numPr>
      <w:spacing w:before="240" w:after="120"/>
      <w:outlineLvl w:val="0"/>
    </w:pPr>
    <w:rPr>
      <w:rFonts w:asciiTheme="majorHAnsi" w:eastAsiaTheme="majorEastAsia" w:hAnsiTheme="majorHAnsi" w:cstheme="majorBidi"/>
      <w:color w:val="2F5496" w:themeColor="accent1" w:themeShade="BF"/>
      <w:szCs w:val="32"/>
    </w:rPr>
  </w:style>
  <w:style w:type="paragraph" w:styleId="Heading2">
    <w:name w:val="heading 2"/>
    <w:basedOn w:val="Normal"/>
    <w:next w:val="Normal"/>
    <w:link w:val="Heading2Char"/>
    <w:uiPriority w:val="9"/>
    <w:unhideWhenUsed/>
    <w:qFormat/>
    <w:rsid w:val="004F1660"/>
    <w:pPr>
      <w:keepNext/>
      <w:keepLines/>
      <w:spacing w:before="40" w:after="0"/>
      <w:outlineLvl w:val="1"/>
    </w:pPr>
    <w:rPr>
      <w:rFonts w:eastAsiaTheme="majorEastAsia" w:cstheme="majorBidi"/>
      <w:i/>
      <w:color w:val="2F5496"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0B07"/>
    <w:rPr>
      <w:rFonts w:asciiTheme="majorHAnsi" w:eastAsiaTheme="majorEastAsia" w:hAnsiTheme="majorHAnsi" w:cstheme="majorBidi"/>
      <w:color w:val="2F5496" w:themeColor="accent1" w:themeShade="BF"/>
      <w:sz w:val="24"/>
      <w:szCs w:val="32"/>
    </w:rPr>
  </w:style>
  <w:style w:type="paragraph" w:styleId="ListParagraph">
    <w:name w:val="List Paragraph"/>
    <w:basedOn w:val="Normal"/>
    <w:uiPriority w:val="34"/>
    <w:qFormat/>
    <w:rsid w:val="00EF0A1C"/>
    <w:pPr>
      <w:ind w:left="720"/>
      <w:contextualSpacing/>
    </w:pPr>
  </w:style>
  <w:style w:type="paragraph" w:styleId="NormalWeb">
    <w:name w:val="Normal (Web)"/>
    <w:basedOn w:val="Normal"/>
    <w:uiPriority w:val="99"/>
    <w:unhideWhenUsed/>
    <w:rsid w:val="001E34E1"/>
    <w:pPr>
      <w:spacing w:before="100" w:beforeAutospacing="1" w:after="100" w:afterAutospacing="1" w:line="240" w:lineRule="auto"/>
    </w:pPr>
    <w:rPr>
      <w:rFonts w:ascii="Times New Roman" w:eastAsia="Times New Roman" w:hAnsi="Times New Roman" w:cs="Times New Roman"/>
      <w:szCs w:val="24"/>
    </w:rPr>
  </w:style>
  <w:style w:type="paragraph" w:styleId="FootnoteText">
    <w:name w:val="footnote text"/>
    <w:basedOn w:val="Normal"/>
    <w:link w:val="FootnoteTextChar"/>
    <w:uiPriority w:val="99"/>
    <w:unhideWhenUsed/>
    <w:rsid w:val="0061748C"/>
    <w:pPr>
      <w:spacing w:after="0" w:line="240" w:lineRule="auto"/>
    </w:pPr>
    <w:rPr>
      <w:rFonts w:eastAsiaTheme="minorEastAsia"/>
      <w:sz w:val="20"/>
      <w:szCs w:val="20"/>
      <w:lang w:val="en"/>
    </w:rPr>
  </w:style>
  <w:style w:type="character" w:customStyle="1" w:styleId="FootnoteTextChar">
    <w:name w:val="Footnote Text Char"/>
    <w:basedOn w:val="DefaultParagraphFont"/>
    <w:link w:val="FootnoteText"/>
    <w:uiPriority w:val="99"/>
    <w:rsid w:val="0061748C"/>
    <w:rPr>
      <w:rFonts w:ascii="Garamond" w:eastAsiaTheme="minorEastAsia" w:hAnsi="Garamond"/>
      <w:sz w:val="20"/>
      <w:szCs w:val="20"/>
      <w:lang w:val="en"/>
    </w:rPr>
  </w:style>
  <w:style w:type="character" w:styleId="FootnoteReference">
    <w:name w:val="footnote reference"/>
    <w:basedOn w:val="DefaultParagraphFont"/>
    <w:uiPriority w:val="99"/>
    <w:unhideWhenUsed/>
    <w:rsid w:val="0061748C"/>
    <w:rPr>
      <w:vertAlign w:val="superscript"/>
    </w:rPr>
  </w:style>
  <w:style w:type="character" w:styleId="CommentReference">
    <w:name w:val="annotation reference"/>
    <w:basedOn w:val="DefaultParagraphFont"/>
    <w:uiPriority w:val="99"/>
    <w:semiHidden/>
    <w:unhideWhenUsed/>
    <w:rsid w:val="0061748C"/>
    <w:rPr>
      <w:sz w:val="16"/>
      <w:szCs w:val="16"/>
    </w:rPr>
  </w:style>
  <w:style w:type="paragraph" w:styleId="CommentText">
    <w:name w:val="annotation text"/>
    <w:basedOn w:val="Normal"/>
    <w:link w:val="CommentTextChar"/>
    <w:uiPriority w:val="99"/>
    <w:unhideWhenUsed/>
    <w:rsid w:val="0061748C"/>
    <w:pPr>
      <w:spacing w:line="240" w:lineRule="auto"/>
    </w:pPr>
    <w:rPr>
      <w:rFonts w:eastAsiaTheme="minorEastAsia"/>
      <w:sz w:val="20"/>
      <w:szCs w:val="20"/>
      <w:lang w:val="en"/>
    </w:rPr>
  </w:style>
  <w:style w:type="character" w:customStyle="1" w:styleId="CommentTextChar">
    <w:name w:val="Comment Text Char"/>
    <w:basedOn w:val="DefaultParagraphFont"/>
    <w:link w:val="CommentText"/>
    <w:uiPriority w:val="99"/>
    <w:rsid w:val="0061748C"/>
    <w:rPr>
      <w:rFonts w:ascii="Garamond" w:eastAsiaTheme="minorEastAsia" w:hAnsi="Garamond"/>
      <w:sz w:val="20"/>
      <w:szCs w:val="20"/>
      <w:lang w:val="en"/>
    </w:rPr>
  </w:style>
  <w:style w:type="character" w:styleId="Hyperlink">
    <w:name w:val="Hyperlink"/>
    <w:basedOn w:val="DefaultParagraphFont"/>
    <w:uiPriority w:val="99"/>
    <w:unhideWhenUsed/>
    <w:rsid w:val="0061748C"/>
    <w:rPr>
      <w:color w:val="0563C1" w:themeColor="hyperlink"/>
      <w:u w:val="single"/>
    </w:rPr>
  </w:style>
  <w:style w:type="paragraph" w:styleId="BalloonText">
    <w:name w:val="Balloon Text"/>
    <w:basedOn w:val="Normal"/>
    <w:link w:val="BalloonTextChar"/>
    <w:uiPriority w:val="99"/>
    <w:semiHidden/>
    <w:unhideWhenUsed/>
    <w:rsid w:val="006174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48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00B07"/>
    <w:rPr>
      <w:rFonts w:eastAsiaTheme="minorHAnsi"/>
      <w:b/>
      <w:bCs/>
      <w:lang w:val="en-US"/>
    </w:rPr>
  </w:style>
  <w:style w:type="character" w:customStyle="1" w:styleId="CommentSubjectChar">
    <w:name w:val="Comment Subject Char"/>
    <w:basedOn w:val="CommentTextChar"/>
    <w:link w:val="CommentSubject"/>
    <w:uiPriority w:val="99"/>
    <w:semiHidden/>
    <w:rsid w:val="00B00B07"/>
    <w:rPr>
      <w:rFonts w:ascii="Garamond" w:eastAsiaTheme="minorEastAsia" w:hAnsi="Garamond"/>
      <w:b/>
      <w:bCs/>
      <w:sz w:val="20"/>
      <w:szCs w:val="20"/>
      <w:lang w:val="en"/>
    </w:rPr>
  </w:style>
  <w:style w:type="character" w:customStyle="1" w:styleId="Heading2Char">
    <w:name w:val="Heading 2 Char"/>
    <w:basedOn w:val="DefaultParagraphFont"/>
    <w:link w:val="Heading2"/>
    <w:uiPriority w:val="9"/>
    <w:rsid w:val="004F1660"/>
    <w:rPr>
      <w:rFonts w:ascii="Garamond" w:eastAsiaTheme="majorEastAsia" w:hAnsi="Garamond" w:cstheme="majorBidi"/>
      <w:i/>
      <w:color w:val="2F5496" w:themeColor="accent1" w:themeShade="BF"/>
      <w:sz w:val="24"/>
      <w:szCs w:val="26"/>
    </w:rPr>
  </w:style>
  <w:style w:type="paragraph" w:styleId="Header">
    <w:name w:val="header"/>
    <w:basedOn w:val="Normal"/>
    <w:link w:val="HeaderChar"/>
    <w:uiPriority w:val="99"/>
    <w:unhideWhenUsed/>
    <w:rsid w:val="001864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64F3"/>
    <w:rPr>
      <w:rFonts w:ascii="Garamond" w:hAnsi="Garamond"/>
      <w:sz w:val="24"/>
    </w:rPr>
  </w:style>
  <w:style w:type="paragraph" w:styleId="Footer">
    <w:name w:val="footer"/>
    <w:basedOn w:val="Normal"/>
    <w:link w:val="FooterChar"/>
    <w:uiPriority w:val="99"/>
    <w:unhideWhenUsed/>
    <w:rsid w:val="001864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4F3"/>
    <w:rPr>
      <w:rFonts w:ascii="Garamond" w:hAnsi="Garamond"/>
      <w:sz w:val="24"/>
    </w:rPr>
  </w:style>
  <w:style w:type="character" w:customStyle="1" w:styleId="UnresolvedMention1">
    <w:name w:val="Unresolved Mention1"/>
    <w:basedOn w:val="DefaultParagraphFont"/>
    <w:uiPriority w:val="99"/>
    <w:semiHidden/>
    <w:unhideWhenUsed/>
    <w:rsid w:val="0038081D"/>
    <w:rPr>
      <w:color w:val="605E5C"/>
      <w:shd w:val="clear" w:color="auto" w:fill="E1DFDD"/>
    </w:rPr>
  </w:style>
  <w:style w:type="paragraph" w:styleId="Title">
    <w:name w:val="Title"/>
    <w:basedOn w:val="Normal"/>
    <w:next w:val="Normal"/>
    <w:link w:val="TitleChar"/>
    <w:uiPriority w:val="10"/>
    <w:qFormat/>
    <w:rsid w:val="00954C98"/>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954C98"/>
    <w:rPr>
      <w:rFonts w:asciiTheme="majorHAnsi" w:eastAsiaTheme="majorEastAsia" w:hAnsiTheme="majorHAnsi" w:cstheme="majorBidi"/>
      <w:color w:val="323E4F" w:themeColor="text2" w:themeShade="BF"/>
      <w:spacing w:val="5"/>
      <w:kern w:val="28"/>
      <w:sz w:val="52"/>
      <w:szCs w:val="52"/>
    </w:rPr>
  </w:style>
  <w:style w:type="character" w:customStyle="1" w:styleId="apple-converted-space">
    <w:name w:val="apple-converted-space"/>
    <w:basedOn w:val="DefaultParagraphFont"/>
    <w:rsid w:val="00E422E8"/>
  </w:style>
  <w:style w:type="paragraph" w:styleId="HTMLPreformatted">
    <w:name w:val="HTML Preformatted"/>
    <w:basedOn w:val="Normal"/>
    <w:link w:val="HTMLPreformattedChar"/>
    <w:uiPriority w:val="99"/>
    <w:semiHidden/>
    <w:unhideWhenUsed/>
    <w:rsid w:val="00150A50"/>
    <w:pPr>
      <w:spacing w:after="0" w:line="240" w:lineRule="auto"/>
    </w:pPr>
    <w:rPr>
      <w:rFonts w:ascii="Courier" w:hAnsi="Courier"/>
      <w:sz w:val="20"/>
      <w:szCs w:val="20"/>
    </w:rPr>
  </w:style>
  <w:style w:type="character" w:customStyle="1" w:styleId="HTMLPreformattedChar">
    <w:name w:val="HTML Preformatted Char"/>
    <w:basedOn w:val="DefaultParagraphFont"/>
    <w:link w:val="HTMLPreformatted"/>
    <w:uiPriority w:val="99"/>
    <w:semiHidden/>
    <w:rsid w:val="00150A50"/>
    <w:rPr>
      <w:rFonts w:ascii="Courier" w:hAnsi="Courier"/>
      <w:sz w:val="20"/>
      <w:szCs w:val="20"/>
    </w:rPr>
  </w:style>
  <w:style w:type="character" w:styleId="PageNumber">
    <w:name w:val="page number"/>
    <w:basedOn w:val="DefaultParagraphFont"/>
    <w:uiPriority w:val="99"/>
    <w:semiHidden/>
    <w:unhideWhenUsed/>
    <w:rsid w:val="00FC6BAA"/>
  </w:style>
  <w:style w:type="character" w:customStyle="1" w:styleId="UnresolvedMention2">
    <w:name w:val="Unresolved Mention2"/>
    <w:basedOn w:val="DefaultParagraphFont"/>
    <w:uiPriority w:val="99"/>
    <w:semiHidden/>
    <w:unhideWhenUsed/>
    <w:rsid w:val="00727E69"/>
    <w:rPr>
      <w:color w:val="605E5C"/>
      <w:shd w:val="clear" w:color="auto" w:fill="E1DFDD"/>
    </w:rPr>
  </w:style>
  <w:style w:type="character" w:styleId="FollowedHyperlink">
    <w:name w:val="FollowedHyperlink"/>
    <w:basedOn w:val="DefaultParagraphFont"/>
    <w:uiPriority w:val="99"/>
    <w:semiHidden/>
    <w:unhideWhenUsed/>
    <w:rsid w:val="004F7DA9"/>
    <w:rPr>
      <w:color w:val="954F72" w:themeColor="followedHyperlink"/>
      <w:u w:val="single"/>
    </w:rPr>
  </w:style>
  <w:style w:type="character" w:customStyle="1" w:styleId="UnresolvedMention3">
    <w:name w:val="Unresolved Mention3"/>
    <w:basedOn w:val="DefaultParagraphFont"/>
    <w:uiPriority w:val="99"/>
    <w:semiHidden/>
    <w:unhideWhenUsed/>
    <w:rsid w:val="004F7DA9"/>
    <w:rPr>
      <w:color w:val="605E5C"/>
      <w:shd w:val="clear" w:color="auto" w:fill="E1DFDD"/>
    </w:rPr>
  </w:style>
  <w:style w:type="paragraph" w:styleId="Revision">
    <w:name w:val="Revision"/>
    <w:hidden/>
    <w:uiPriority w:val="99"/>
    <w:semiHidden/>
    <w:rsid w:val="00424CA7"/>
    <w:pPr>
      <w:spacing w:after="0" w:line="240" w:lineRule="auto"/>
    </w:pPr>
    <w:rPr>
      <w:rFonts w:ascii="Arial" w:hAnsi="Arial"/>
    </w:rPr>
  </w:style>
  <w:style w:type="character" w:styleId="Emphasis">
    <w:name w:val="Emphasis"/>
    <w:basedOn w:val="DefaultParagraphFont"/>
    <w:uiPriority w:val="20"/>
    <w:qFormat/>
    <w:rsid w:val="008723B6"/>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5B2"/>
    <w:pPr>
      <w:spacing w:line="276" w:lineRule="auto"/>
      <w:jc w:val="both"/>
    </w:pPr>
    <w:rPr>
      <w:rFonts w:ascii="Arial" w:hAnsi="Arial"/>
    </w:rPr>
  </w:style>
  <w:style w:type="paragraph" w:styleId="Heading1">
    <w:name w:val="heading 1"/>
    <w:basedOn w:val="Normal"/>
    <w:next w:val="Normal"/>
    <w:link w:val="Heading1Char"/>
    <w:uiPriority w:val="9"/>
    <w:qFormat/>
    <w:rsid w:val="00B00B07"/>
    <w:pPr>
      <w:keepNext/>
      <w:keepLines/>
      <w:numPr>
        <w:numId w:val="14"/>
      </w:numPr>
      <w:spacing w:before="240" w:after="120"/>
      <w:outlineLvl w:val="0"/>
    </w:pPr>
    <w:rPr>
      <w:rFonts w:asciiTheme="majorHAnsi" w:eastAsiaTheme="majorEastAsia" w:hAnsiTheme="majorHAnsi" w:cstheme="majorBidi"/>
      <w:color w:val="2F5496" w:themeColor="accent1" w:themeShade="BF"/>
      <w:szCs w:val="32"/>
    </w:rPr>
  </w:style>
  <w:style w:type="paragraph" w:styleId="Heading2">
    <w:name w:val="heading 2"/>
    <w:basedOn w:val="Normal"/>
    <w:next w:val="Normal"/>
    <w:link w:val="Heading2Char"/>
    <w:uiPriority w:val="9"/>
    <w:unhideWhenUsed/>
    <w:qFormat/>
    <w:rsid w:val="004F1660"/>
    <w:pPr>
      <w:keepNext/>
      <w:keepLines/>
      <w:spacing w:before="40" w:after="0"/>
      <w:outlineLvl w:val="1"/>
    </w:pPr>
    <w:rPr>
      <w:rFonts w:eastAsiaTheme="majorEastAsia" w:cstheme="majorBidi"/>
      <w:i/>
      <w:color w:val="2F5496"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0B07"/>
    <w:rPr>
      <w:rFonts w:asciiTheme="majorHAnsi" w:eastAsiaTheme="majorEastAsia" w:hAnsiTheme="majorHAnsi" w:cstheme="majorBidi"/>
      <w:color w:val="2F5496" w:themeColor="accent1" w:themeShade="BF"/>
      <w:sz w:val="24"/>
      <w:szCs w:val="32"/>
    </w:rPr>
  </w:style>
  <w:style w:type="paragraph" w:styleId="ListParagraph">
    <w:name w:val="List Paragraph"/>
    <w:basedOn w:val="Normal"/>
    <w:uiPriority w:val="34"/>
    <w:qFormat/>
    <w:rsid w:val="00EF0A1C"/>
    <w:pPr>
      <w:ind w:left="720"/>
      <w:contextualSpacing/>
    </w:pPr>
  </w:style>
  <w:style w:type="paragraph" w:styleId="NormalWeb">
    <w:name w:val="Normal (Web)"/>
    <w:basedOn w:val="Normal"/>
    <w:uiPriority w:val="99"/>
    <w:unhideWhenUsed/>
    <w:rsid w:val="001E34E1"/>
    <w:pPr>
      <w:spacing w:before="100" w:beforeAutospacing="1" w:after="100" w:afterAutospacing="1" w:line="240" w:lineRule="auto"/>
    </w:pPr>
    <w:rPr>
      <w:rFonts w:ascii="Times New Roman" w:eastAsia="Times New Roman" w:hAnsi="Times New Roman" w:cs="Times New Roman"/>
      <w:szCs w:val="24"/>
    </w:rPr>
  </w:style>
  <w:style w:type="paragraph" w:styleId="FootnoteText">
    <w:name w:val="footnote text"/>
    <w:basedOn w:val="Normal"/>
    <w:link w:val="FootnoteTextChar"/>
    <w:uiPriority w:val="99"/>
    <w:unhideWhenUsed/>
    <w:rsid w:val="0061748C"/>
    <w:pPr>
      <w:spacing w:after="0" w:line="240" w:lineRule="auto"/>
    </w:pPr>
    <w:rPr>
      <w:rFonts w:eastAsiaTheme="minorEastAsia"/>
      <w:sz w:val="20"/>
      <w:szCs w:val="20"/>
      <w:lang w:val="en"/>
    </w:rPr>
  </w:style>
  <w:style w:type="character" w:customStyle="1" w:styleId="FootnoteTextChar">
    <w:name w:val="Footnote Text Char"/>
    <w:basedOn w:val="DefaultParagraphFont"/>
    <w:link w:val="FootnoteText"/>
    <w:uiPriority w:val="99"/>
    <w:rsid w:val="0061748C"/>
    <w:rPr>
      <w:rFonts w:ascii="Garamond" w:eastAsiaTheme="minorEastAsia" w:hAnsi="Garamond"/>
      <w:sz w:val="20"/>
      <w:szCs w:val="20"/>
      <w:lang w:val="en"/>
    </w:rPr>
  </w:style>
  <w:style w:type="character" w:styleId="FootnoteReference">
    <w:name w:val="footnote reference"/>
    <w:basedOn w:val="DefaultParagraphFont"/>
    <w:uiPriority w:val="99"/>
    <w:unhideWhenUsed/>
    <w:rsid w:val="0061748C"/>
    <w:rPr>
      <w:vertAlign w:val="superscript"/>
    </w:rPr>
  </w:style>
  <w:style w:type="character" w:styleId="CommentReference">
    <w:name w:val="annotation reference"/>
    <w:basedOn w:val="DefaultParagraphFont"/>
    <w:uiPriority w:val="99"/>
    <w:semiHidden/>
    <w:unhideWhenUsed/>
    <w:rsid w:val="0061748C"/>
    <w:rPr>
      <w:sz w:val="16"/>
      <w:szCs w:val="16"/>
    </w:rPr>
  </w:style>
  <w:style w:type="paragraph" w:styleId="CommentText">
    <w:name w:val="annotation text"/>
    <w:basedOn w:val="Normal"/>
    <w:link w:val="CommentTextChar"/>
    <w:uiPriority w:val="99"/>
    <w:unhideWhenUsed/>
    <w:rsid w:val="0061748C"/>
    <w:pPr>
      <w:spacing w:line="240" w:lineRule="auto"/>
    </w:pPr>
    <w:rPr>
      <w:rFonts w:eastAsiaTheme="minorEastAsia"/>
      <w:sz w:val="20"/>
      <w:szCs w:val="20"/>
      <w:lang w:val="en"/>
    </w:rPr>
  </w:style>
  <w:style w:type="character" w:customStyle="1" w:styleId="CommentTextChar">
    <w:name w:val="Comment Text Char"/>
    <w:basedOn w:val="DefaultParagraphFont"/>
    <w:link w:val="CommentText"/>
    <w:uiPriority w:val="99"/>
    <w:rsid w:val="0061748C"/>
    <w:rPr>
      <w:rFonts w:ascii="Garamond" w:eastAsiaTheme="minorEastAsia" w:hAnsi="Garamond"/>
      <w:sz w:val="20"/>
      <w:szCs w:val="20"/>
      <w:lang w:val="en"/>
    </w:rPr>
  </w:style>
  <w:style w:type="character" w:styleId="Hyperlink">
    <w:name w:val="Hyperlink"/>
    <w:basedOn w:val="DefaultParagraphFont"/>
    <w:uiPriority w:val="99"/>
    <w:unhideWhenUsed/>
    <w:rsid w:val="0061748C"/>
    <w:rPr>
      <w:color w:val="0563C1" w:themeColor="hyperlink"/>
      <w:u w:val="single"/>
    </w:rPr>
  </w:style>
  <w:style w:type="paragraph" w:styleId="BalloonText">
    <w:name w:val="Balloon Text"/>
    <w:basedOn w:val="Normal"/>
    <w:link w:val="BalloonTextChar"/>
    <w:uiPriority w:val="99"/>
    <w:semiHidden/>
    <w:unhideWhenUsed/>
    <w:rsid w:val="006174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48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00B07"/>
    <w:rPr>
      <w:rFonts w:eastAsiaTheme="minorHAnsi"/>
      <w:b/>
      <w:bCs/>
      <w:lang w:val="en-US"/>
    </w:rPr>
  </w:style>
  <w:style w:type="character" w:customStyle="1" w:styleId="CommentSubjectChar">
    <w:name w:val="Comment Subject Char"/>
    <w:basedOn w:val="CommentTextChar"/>
    <w:link w:val="CommentSubject"/>
    <w:uiPriority w:val="99"/>
    <w:semiHidden/>
    <w:rsid w:val="00B00B07"/>
    <w:rPr>
      <w:rFonts w:ascii="Garamond" w:eastAsiaTheme="minorEastAsia" w:hAnsi="Garamond"/>
      <w:b/>
      <w:bCs/>
      <w:sz w:val="20"/>
      <w:szCs w:val="20"/>
      <w:lang w:val="en"/>
    </w:rPr>
  </w:style>
  <w:style w:type="character" w:customStyle="1" w:styleId="Heading2Char">
    <w:name w:val="Heading 2 Char"/>
    <w:basedOn w:val="DefaultParagraphFont"/>
    <w:link w:val="Heading2"/>
    <w:uiPriority w:val="9"/>
    <w:rsid w:val="004F1660"/>
    <w:rPr>
      <w:rFonts w:ascii="Garamond" w:eastAsiaTheme="majorEastAsia" w:hAnsi="Garamond" w:cstheme="majorBidi"/>
      <w:i/>
      <w:color w:val="2F5496" w:themeColor="accent1" w:themeShade="BF"/>
      <w:sz w:val="24"/>
      <w:szCs w:val="26"/>
    </w:rPr>
  </w:style>
  <w:style w:type="paragraph" w:styleId="Header">
    <w:name w:val="header"/>
    <w:basedOn w:val="Normal"/>
    <w:link w:val="HeaderChar"/>
    <w:uiPriority w:val="99"/>
    <w:unhideWhenUsed/>
    <w:rsid w:val="001864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64F3"/>
    <w:rPr>
      <w:rFonts w:ascii="Garamond" w:hAnsi="Garamond"/>
      <w:sz w:val="24"/>
    </w:rPr>
  </w:style>
  <w:style w:type="paragraph" w:styleId="Footer">
    <w:name w:val="footer"/>
    <w:basedOn w:val="Normal"/>
    <w:link w:val="FooterChar"/>
    <w:uiPriority w:val="99"/>
    <w:unhideWhenUsed/>
    <w:rsid w:val="001864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4F3"/>
    <w:rPr>
      <w:rFonts w:ascii="Garamond" w:hAnsi="Garamond"/>
      <w:sz w:val="24"/>
    </w:rPr>
  </w:style>
  <w:style w:type="character" w:customStyle="1" w:styleId="UnresolvedMention1">
    <w:name w:val="Unresolved Mention1"/>
    <w:basedOn w:val="DefaultParagraphFont"/>
    <w:uiPriority w:val="99"/>
    <w:semiHidden/>
    <w:unhideWhenUsed/>
    <w:rsid w:val="0038081D"/>
    <w:rPr>
      <w:color w:val="605E5C"/>
      <w:shd w:val="clear" w:color="auto" w:fill="E1DFDD"/>
    </w:rPr>
  </w:style>
  <w:style w:type="paragraph" w:styleId="Title">
    <w:name w:val="Title"/>
    <w:basedOn w:val="Normal"/>
    <w:next w:val="Normal"/>
    <w:link w:val="TitleChar"/>
    <w:uiPriority w:val="10"/>
    <w:qFormat/>
    <w:rsid w:val="00954C98"/>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954C98"/>
    <w:rPr>
      <w:rFonts w:asciiTheme="majorHAnsi" w:eastAsiaTheme="majorEastAsia" w:hAnsiTheme="majorHAnsi" w:cstheme="majorBidi"/>
      <w:color w:val="323E4F" w:themeColor="text2" w:themeShade="BF"/>
      <w:spacing w:val="5"/>
      <w:kern w:val="28"/>
      <w:sz w:val="52"/>
      <w:szCs w:val="52"/>
    </w:rPr>
  </w:style>
  <w:style w:type="character" w:customStyle="1" w:styleId="apple-converted-space">
    <w:name w:val="apple-converted-space"/>
    <w:basedOn w:val="DefaultParagraphFont"/>
    <w:rsid w:val="00E422E8"/>
  </w:style>
  <w:style w:type="paragraph" w:styleId="HTMLPreformatted">
    <w:name w:val="HTML Preformatted"/>
    <w:basedOn w:val="Normal"/>
    <w:link w:val="HTMLPreformattedChar"/>
    <w:uiPriority w:val="99"/>
    <w:semiHidden/>
    <w:unhideWhenUsed/>
    <w:rsid w:val="00150A50"/>
    <w:pPr>
      <w:spacing w:after="0" w:line="240" w:lineRule="auto"/>
    </w:pPr>
    <w:rPr>
      <w:rFonts w:ascii="Courier" w:hAnsi="Courier"/>
      <w:sz w:val="20"/>
      <w:szCs w:val="20"/>
    </w:rPr>
  </w:style>
  <w:style w:type="character" w:customStyle="1" w:styleId="HTMLPreformattedChar">
    <w:name w:val="HTML Preformatted Char"/>
    <w:basedOn w:val="DefaultParagraphFont"/>
    <w:link w:val="HTMLPreformatted"/>
    <w:uiPriority w:val="99"/>
    <w:semiHidden/>
    <w:rsid w:val="00150A50"/>
    <w:rPr>
      <w:rFonts w:ascii="Courier" w:hAnsi="Courier"/>
      <w:sz w:val="20"/>
      <w:szCs w:val="20"/>
    </w:rPr>
  </w:style>
  <w:style w:type="character" w:styleId="PageNumber">
    <w:name w:val="page number"/>
    <w:basedOn w:val="DefaultParagraphFont"/>
    <w:uiPriority w:val="99"/>
    <w:semiHidden/>
    <w:unhideWhenUsed/>
    <w:rsid w:val="00FC6BAA"/>
  </w:style>
  <w:style w:type="character" w:customStyle="1" w:styleId="UnresolvedMention2">
    <w:name w:val="Unresolved Mention2"/>
    <w:basedOn w:val="DefaultParagraphFont"/>
    <w:uiPriority w:val="99"/>
    <w:semiHidden/>
    <w:unhideWhenUsed/>
    <w:rsid w:val="00727E69"/>
    <w:rPr>
      <w:color w:val="605E5C"/>
      <w:shd w:val="clear" w:color="auto" w:fill="E1DFDD"/>
    </w:rPr>
  </w:style>
  <w:style w:type="character" w:styleId="FollowedHyperlink">
    <w:name w:val="FollowedHyperlink"/>
    <w:basedOn w:val="DefaultParagraphFont"/>
    <w:uiPriority w:val="99"/>
    <w:semiHidden/>
    <w:unhideWhenUsed/>
    <w:rsid w:val="004F7DA9"/>
    <w:rPr>
      <w:color w:val="954F72" w:themeColor="followedHyperlink"/>
      <w:u w:val="single"/>
    </w:rPr>
  </w:style>
  <w:style w:type="character" w:customStyle="1" w:styleId="UnresolvedMention3">
    <w:name w:val="Unresolved Mention3"/>
    <w:basedOn w:val="DefaultParagraphFont"/>
    <w:uiPriority w:val="99"/>
    <w:semiHidden/>
    <w:unhideWhenUsed/>
    <w:rsid w:val="004F7DA9"/>
    <w:rPr>
      <w:color w:val="605E5C"/>
      <w:shd w:val="clear" w:color="auto" w:fill="E1DFDD"/>
    </w:rPr>
  </w:style>
  <w:style w:type="paragraph" w:styleId="Revision">
    <w:name w:val="Revision"/>
    <w:hidden/>
    <w:uiPriority w:val="99"/>
    <w:semiHidden/>
    <w:rsid w:val="00424CA7"/>
    <w:pPr>
      <w:spacing w:after="0" w:line="240" w:lineRule="auto"/>
    </w:pPr>
    <w:rPr>
      <w:rFonts w:ascii="Arial" w:hAnsi="Arial"/>
    </w:rPr>
  </w:style>
  <w:style w:type="character" w:styleId="Emphasis">
    <w:name w:val="Emphasis"/>
    <w:basedOn w:val="DefaultParagraphFont"/>
    <w:uiPriority w:val="20"/>
    <w:qFormat/>
    <w:rsid w:val="008723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7318">
      <w:bodyDiv w:val="1"/>
      <w:marLeft w:val="0"/>
      <w:marRight w:val="0"/>
      <w:marTop w:val="0"/>
      <w:marBottom w:val="0"/>
      <w:divBdr>
        <w:top w:val="none" w:sz="0" w:space="0" w:color="auto"/>
        <w:left w:val="none" w:sz="0" w:space="0" w:color="auto"/>
        <w:bottom w:val="none" w:sz="0" w:space="0" w:color="auto"/>
        <w:right w:val="none" w:sz="0" w:space="0" w:color="auto"/>
      </w:divBdr>
    </w:div>
    <w:div w:id="84885306">
      <w:bodyDiv w:val="1"/>
      <w:marLeft w:val="0"/>
      <w:marRight w:val="0"/>
      <w:marTop w:val="0"/>
      <w:marBottom w:val="0"/>
      <w:divBdr>
        <w:top w:val="none" w:sz="0" w:space="0" w:color="auto"/>
        <w:left w:val="none" w:sz="0" w:space="0" w:color="auto"/>
        <w:bottom w:val="none" w:sz="0" w:space="0" w:color="auto"/>
        <w:right w:val="none" w:sz="0" w:space="0" w:color="auto"/>
      </w:divBdr>
      <w:divsChild>
        <w:div w:id="336814834">
          <w:marLeft w:val="0"/>
          <w:marRight w:val="0"/>
          <w:marTop w:val="0"/>
          <w:marBottom w:val="0"/>
          <w:divBdr>
            <w:top w:val="none" w:sz="0" w:space="0" w:color="auto"/>
            <w:left w:val="none" w:sz="0" w:space="0" w:color="auto"/>
            <w:bottom w:val="none" w:sz="0" w:space="0" w:color="auto"/>
            <w:right w:val="none" w:sz="0" w:space="0" w:color="auto"/>
          </w:divBdr>
          <w:divsChild>
            <w:div w:id="1687710931">
              <w:marLeft w:val="0"/>
              <w:marRight w:val="0"/>
              <w:marTop w:val="0"/>
              <w:marBottom w:val="0"/>
              <w:divBdr>
                <w:top w:val="none" w:sz="0" w:space="0" w:color="auto"/>
                <w:left w:val="none" w:sz="0" w:space="0" w:color="auto"/>
                <w:bottom w:val="none" w:sz="0" w:space="0" w:color="auto"/>
                <w:right w:val="none" w:sz="0" w:space="0" w:color="auto"/>
              </w:divBdr>
              <w:divsChild>
                <w:div w:id="97669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20023">
      <w:bodyDiv w:val="1"/>
      <w:marLeft w:val="0"/>
      <w:marRight w:val="0"/>
      <w:marTop w:val="0"/>
      <w:marBottom w:val="0"/>
      <w:divBdr>
        <w:top w:val="none" w:sz="0" w:space="0" w:color="auto"/>
        <w:left w:val="none" w:sz="0" w:space="0" w:color="auto"/>
        <w:bottom w:val="none" w:sz="0" w:space="0" w:color="auto"/>
        <w:right w:val="none" w:sz="0" w:space="0" w:color="auto"/>
      </w:divBdr>
    </w:div>
    <w:div w:id="141969141">
      <w:bodyDiv w:val="1"/>
      <w:marLeft w:val="0"/>
      <w:marRight w:val="0"/>
      <w:marTop w:val="0"/>
      <w:marBottom w:val="0"/>
      <w:divBdr>
        <w:top w:val="none" w:sz="0" w:space="0" w:color="auto"/>
        <w:left w:val="none" w:sz="0" w:space="0" w:color="auto"/>
        <w:bottom w:val="none" w:sz="0" w:space="0" w:color="auto"/>
        <w:right w:val="none" w:sz="0" w:space="0" w:color="auto"/>
      </w:divBdr>
    </w:div>
    <w:div w:id="145630039">
      <w:bodyDiv w:val="1"/>
      <w:marLeft w:val="0"/>
      <w:marRight w:val="0"/>
      <w:marTop w:val="0"/>
      <w:marBottom w:val="0"/>
      <w:divBdr>
        <w:top w:val="none" w:sz="0" w:space="0" w:color="auto"/>
        <w:left w:val="none" w:sz="0" w:space="0" w:color="auto"/>
        <w:bottom w:val="none" w:sz="0" w:space="0" w:color="auto"/>
        <w:right w:val="none" w:sz="0" w:space="0" w:color="auto"/>
      </w:divBdr>
      <w:divsChild>
        <w:div w:id="928124936">
          <w:marLeft w:val="0"/>
          <w:marRight w:val="0"/>
          <w:marTop w:val="0"/>
          <w:marBottom w:val="0"/>
          <w:divBdr>
            <w:top w:val="none" w:sz="0" w:space="0" w:color="auto"/>
            <w:left w:val="none" w:sz="0" w:space="0" w:color="auto"/>
            <w:bottom w:val="none" w:sz="0" w:space="0" w:color="auto"/>
            <w:right w:val="none" w:sz="0" w:space="0" w:color="auto"/>
          </w:divBdr>
          <w:divsChild>
            <w:div w:id="529075282">
              <w:marLeft w:val="0"/>
              <w:marRight w:val="0"/>
              <w:marTop w:val="0"/>
              <w:marBottom w:val="0"/>
              <w:divBdr>
                <w:top w:val="none" w:sz="0" w:space="0" w:color="auto"/>
                <w:left w:val="none" w:sz="0" w:space="0" w:color="auto"/>
                <w:bottom w:val="none" w:sz="0" w:space="0" w:color="auto"/>
                <w:right w:val="none" w:sz="0" w:space="0" w:color="auto"/>
              </w:divBdr>
              <w:divsChild>
                <w:div w:id="204925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7075">
      <w:bodyDiv w:val="1"/>
      <w:marLeft w:val="0"/>
      <w:marRight w:val="0"/>
      <w:marTop w:val="0"/>
      <w:marBottom w:val="0"/>
      <w:divBdr>
        <w:top w:val="none" w:sz="0" w:space="0" w:color="auto"/>
        <w:left w:val="none" w:sz="0" w:space="0" w:color="auto"/>
        <w:bottom w:val="none" w:sz="0" w:space="0" w:color="auto"/>
        <w:right w:val="none" w:sz="0" w:space="0" w:color="auto"/>
      </w:divBdr>
    </w:div>
    <w:div w:id="193689733">
      <w:bodyDiv w:val="1"/>
      <w:marLeft w:val="0"/>
      <w:marRight w:val="0"/>
      <w:marTop w:val="0"/>
      <w:marBottom w:val="0"/>
      <w:divBdr>
        <w:top w:val="none" w:sz="0" w:space="0" w:color="auto"/>
        <w:left w:val="none" w:sz="0" w:space="0" w:color="auto"/>
        <w:bottom w:val="none" w:sz="0" w:space="0" w:color="auto"/>
        <w:right w:val="none" w:sz="0" w:space="0" w:color="auto"/>
      </w:divBdr>
      <w:divsChild>
        <w:div w:id="1609850690">
          <w:marLeft w:val="0"/>
          <w:marRight w:val="0"/>
          <w:marTop w:val="0"/>
          <w:marBottom w:val="0"/>
          <w:divBdr>
            <w:top w:val="none" w:sz="0" w:space="0" w:color="auto"/>
            <w:left w:val="none" w:sz="0" w:space="0" w:color="auto"/>
            <w:bottom w:val="none" w:sz="0" w:space="0" w:color="auto"/>
            <w:right w:val="none" w:sz="0" w:space="0" w:color="auto"/>
          </w:divBdr>
          <w:divsChild>
            <w:div w:id="1890140851">
              <w:marLeft w:val="0"/>
              <w:marRight w:val="0"/>
              <w:marTop w:val="0"/>
              <w:marBottom w:val="0"/>
              <w:divBdr>
                <w:top w:val="none" w:sz="0" w:space="0" w:color="auto"/>
                <w:left w:val="none" w:sz="0" w:space="0" w:color="auto"/>
                <w:bottom w:val="none" w:sz="0" w:space="0" w:color="auto"/>
                <w:right w:val="none" w:sz="0" w:space="0" w:color="auto"/>
              </w:divBdr>
              <w:divsChild>
                <w:div w:id="156271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14051">
      <w:bodyDiv w:val="1"/>
      <w:marLeft w:val="0"/>
      <w:marRight w:val="0"/>
      <w:marTop w:val="0"/>
      <w:marBottom w:val="0"/>
      <w:divBdr>
        <w:top w:val="none" w:sz="0" w:space="0" w:color="auto"/>
        <w:left w:val="none" w:sz="0" w:space="0" w:color="auto"/>
        <w:bottom w:val="none" w:sz="0" w:space="0" w:color="auto"/>
        <w:right w:val="none" w:sz="0" w:space="0" w:color="auto"/>
      </w:divBdr>
    </w:div>
    <w:div w:id="270431688">
      <w:bodyDiv w:val="1"/>
      <w:marLeft w:val="0"/>
      <w:marRight w:val="0"/>
      <w:marTop w:val="0"/>
      <w:marBottom w:val="0"/>
      <w:divBdr>
        <w:top w:val="none" w:sz="0" w:space="0" w:color="auto"/>
        <w:left w:val="none" w:sz="0" w:space="0" w:color="auto"/>
        <w:bottom w:val="none" w:sz="0" w:space="0" w:color="auto"/>
        <w:right w:val="none" w:sz="0" w:space="0" w:color="auto"/>
      </w:divBdr>
      <w:divsChild>
        <w:div w:id="2069838505">
          <w:blockQuote w:val="1"/>
          <w:marLeft w:val="96"/>
          <w:marRight w:val="96"/>
          <w:marTop w:val="269"/>
          <w:marBottom w:val="269"/>
          <w:divBdr>
            <w:top w:val="none" w:sz="0" w:space="0" w:color="auto"/>
            <w:left w:val="none" w:sz="0" w:space="0" w:color="auto"/>
            <w:bottom w:val="none" w:sz="0" w:space="0" w:color="auto"/>
            <w:right w:val="none" w:sz="0" w:space="0" w:color="auto"/>
          </w:divBdr>
          <w:divsChild>
            <w:div w:id="1524005396">
              <w:marLeft w:val="0"/>
              <w:marRight w:val="0"/>
              <w:marTop w:val="0"/>
              <w:marBottom w:val="0"/>
              <w:divBdr>
                <w:top w:val="none" w:sz="0" w:space="0" w:color="auto"/>
                <w:left w:val="none" w:sz="0" w:space="0" w:color="auto"/>
                <w:bottom w:val="none" w:sz="0" w:space="0" w:color="auto"/>
                <w:right w:val="none" w:sz="0" w:space="0" w:color="auto"/>
              </w:divBdr>
              <w:divsChild>
                <w:div w:id="1397894139">
                  <w:marLeft w:val="0"/>
                  <w:marRight w:val="0"/>
                  <w:marTop w:val="0"/>
                  <w:marBottom w:val="0"/>
                  <w:divBdr>
                    <w:top w:val="none" w:sz="0" w:space="0" w:color="auto"/>
                    <w:left w:val="none" w:sz="0" w:space="0" w:color="auto"/>
                    <w:bottom w:val="none" w:sz="0" w:space="0" w:color="auto"/>
                    <w:right w:val="none" w:sz="0" w:space="0" w:color="auto"/>
                  </w:divBdr>
                  <w:divsChild>
                    <w:div w:id="53243934">
                      <w:marLeft w:val="0"/>
                      <w:marRight w:val="0"/>
                      <w:marTop w:val="0"/>
                      <w:marBottom w:val="0"/>
                      <w:divBdr>
                        <w:top w:val="none" w:sz="0" w:space="0" w:color="auto"/>
                        <w:left w:val="none" w:sz="0" w:space="0" w:color="auto"/>
                        <w:bottom w:val="none" w:sz="0" w:space="0" w:color="auto"/>
                        <w:right w:val="none" w:sz="0" w:space="0" w:color="auto"/>
                      </w:divBdr>
                      <w:divsChild>
                        <w:div w:id="59128289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41711672">
                              <w:marLeft w:val="0"/>
                              <w:marRight w:val="0"/>
                              <w:marTop w:val="0"/>
                              <w:marBottom w:val="0"/>
                              <w:divBdr>
                                <w:top w:val="none" w:sz="0" w:space="0" w:color="auto"/>
                                <w:left w:val="none" w:sz="0" w:space="0" w:color="auto"/>
                                <w:bottom w:val="none" w:sz="0" w:space="0" w:color="auto"/>
                                <w:right w:val="none" w:sz="0" w:space="0" w:color="auto"/>
                              </w:divBdr>
                              <w:divsChild>
                                <w:div w:id="173828175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9665826">
                                      <w:marLeft w:val="0"/>
                                      <w:marRight w:val="0"/>
                                      <w:marTop w:val="0"/>
                                      <w:marBottom w:val="0"/>
                                      <w:divBdr>
                                        <w:top w:val="none" w:sz="0" w:space="0" w:color="auto"/>
                                        <w:left w:val="none" w:sz="0" w:space="0" w:color="auto"/>
                                        <w:bottom w:val="none" w:sz="0" w:space="0" w:color="auto"/>
                                        <w:right w:val="none" w:sz="0" w:space="0" w:color="auto"/>
                                      </w:divBdr>
                                      <w:divsChild>
                                        <w:div w:id="2068189252">
                                          <w:marLeft w:val="0"/>
                                          <w:marRight w:val="0"/>
                                          <w:marTop w:val="0"/>
                                          <w:marBottom w:val="0"/>
                                          <w:divBdr>
                                            <w:top w:val="none" w:sz="0" w:space="0" w:color="auto"/>
                                            <w:left w:val="none" w:sz="0" w:space="0" w:color="auto"/>
                                            <w:bottom w:val="none" w:sz="0" w:space="0" w:color="auto"/>
                                            <w:right w:val="none" w:sz="0" w:space="0" w:color="auto"/>
                                          </w:divBdr>
                                          <w:divsChild>
                                            <w:div w:id="980767239">
                                              <w:marLeft w:val="0"/>
                                              <w:marRight w:val="0"/>
                                              <w:marTop w:val="0"/>
                                              <w:marBottom w:val="0"/>
                                              <w:divBdr>
                                                <w:top w:val="none" w:sz="0" w:space="0" w:color="auto"/>
                                                <w:left w:val="none" w:sz="0" w:space="0" w:color="auto"/>
                                                <w:bottom w:val="none" w:sz="0" w:space="0" w:color="auto"/>
                                                <w:right w:val="none" w:sz="0" w:space="0" w:color="auto"/>
                                              </w:divBdr>
                                              <w:divsChild>
                                                <w:div w:id="163455793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69388368">
                                                      <w:marLeft w:val="0"/>
                                                      <w:marRight w:val="0"/>
                                                      <w:marTop w:val="0"/>
                                                      <w:marBottom w:val="0"/>
                                                      <w:divBdr>
                                                        <w:top w:val="none" w:sz="0" w:space="0" w:color="auto"/>
                                                        <w:left w:val="none" w:sz="0" w:space="0" w:color="auto"/>
                                                        <w:bottom w:val="none" w:sz="0" w:space="0" w:color="auto"/>
                                                        <w:right w:val="none" w:sz="0" w:space="0" w:color="auto"/>
                                                      </w:divBdr>
                                                      <w:divsChild>
                                                        <w:div w:id="11089945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27912490">
                                                              <w:marLeft w:val="0"/>
                                                              <w:marRight w:val="0"/>
                                                              <w:marTop w:val="0"/>
                                                              <w:marBottom w:val="0"/>
                                                              <w:divBdr>
                                                                <w:top w:val="none" w:sz="0" w:space="0" w:color="auto"/>
                                                                <w:left w:val="none" w:sz="0" w:space="0" w:color="auto"/>
                                                                <w:bottom w:val="none" w:sz="0" w:space="0" w:color="auto"/>
                                                                <w:right w:val="none" w:sz="0" w:space="0" w:color="auto"/>
                                                              </w:divBdr>
                                                              <w:divsChild>
                                                                <w:div w:id="33166319">
                                                                  <w:marLeft w:val="0"/>
                                                                  <w:marRight w:val="0"/>
                                                                  <w:marTop w:val="0"/>
                                                                  <w:marBottom w:val="0"/>
                                                                  <w:divBdr>
                                                                    <w:top w:val="none" w:sz="0" w:space="0" w:color="auto"/>
                                                                    <w:left w:val="none" w:sz="0" w:space="0" w:color="auto"/>
                                                                    <w:bottom w:val="none" w:sz="0" w:space="0" w:color="auto"/>
                                                                    <w:right w:val="none" w:sz="0" w:space="0" w:color="auto"/>
                                                                  </w:divBdr>
                                                                  <w:divsChild>
                                                                    <w:div w:id="20408598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85721702">
                                                                          <w:marLeft w:val="0"/>
                                                                          <w:marRight w:val="0"/>
                                                                          <w:marTop w:val="0"/>
                                                                          <w:marBottom w:val="0"/>
                                                                          <w:divBdr>
                                                                            <w:top w:val="none" w:sz="0" w:space="0" w:color="auto"/>
                                                                            <w:left w:val="none" w:sz="0" w:space="0" w:color="auto"/>
                                                                            <w:bottom w:val="none" w:sz="0" w:space="0" w:color="auto"/>
                                                                            <w:right w:val="none" w:sz="0" w:space="0" w:color="auto"/>
                                                                          </w:divBdr>
                                                                          <w:divsChild>
                                                                            <w:div w:id="612632151">
                                                                              <w:marLeft w:val="0"/>
                                                                              <w:marRight w:val="0"/>
                                                                              <w:marTop w:val="0"/>
                                                                              <w:marBottom w:val="0"/>
                                                                              <w:divBdr>
                                                                                <w:top w:val="none" w:sz="0" w:space="0" w:color="auto"/>
                                                                                <w:left w:val="none" w:sz="0" w:space="0" w:color="auto"/>
                                                                                <w:bottom w:val="none" w:sz="0" w:space="0" w:color="auto"/>
                                                                                <w:right w:val="none" w:sz="0" w:space="0" w:color="auto"/>
                                                                              </w:divBdr>
                                                                              <w:divsChild>
                                                                                <w:div w:id="1381900855">
                                                                                  <w:marLeft w:val="0"/>
                                                                                  <w:marRight w:val="0"/>
                                                                                  <w:marTop w:val="0"/>
                                                                                  <w:marBottom w:val="0"/>
                                                                                  <w:divBdr>
                                                                                    <w:top w:val="none" w:sz="0" w:space="0" w:color="auto"/>
                                                                                    <w:left w:val="none" w:sz="0" w:space="0" w:color="auto"/>
                                                                                    <w:bottom w:val="none" w:sz="0" w:space="0" w:color="auto"/>
                                                                                    <w:right w:val="none" w:sz="0" w:space="0" w:color="auto"/>
                                                                                  </w:divBdr>
                                                                                  <w:divsChild>
                                                                                    <w:div w:id="194492197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2787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0788733">
      <w:bodyDiv w:val="1"/>
      <w:marLeft w:val="0"/>
      <w:marRight w:val="0"/>
      <w:marTop w:val="0"/>
      <w:marBottom w:val="0"/>
      <w:divBdr>
        <w:top w:val="none" w:sz="0" w:space="0" w:color="auto"/>
        <w:left w:val="none" w:sz="0" w:space="0" w:color="auto"/>
        <w:bottom w:val="none" w:sz="0" w:space="0" w:color="auto"/>
        <w:right w:val="none" w:sz="0" w:space="0" w:color="auto"/>
      </w:divBdr>
    </w:div>
    <w:div w:id="390465741">
      <w:bodyDiv w:val="1"/>
      <w:marLeft w:val="0"/>
      <w:marRight w:val="0"/>
      <w:marTop w:val="0"/>
      <w:marBottom w:val="0"/>
      <w:divBdr>
        <w:top w:val="none" w:sz="0" w:space="0" w:color="auto"/>
        <w:left w:val="none" w:sz="0" w:space="0" w:color="auto"/>
        <w:bottom w:val="none" w:sz="0" w:space="0" w:color="auto"/>
        <w:right w:val="none" w:sz="0" w:space="0" w:color="auto"/>
      </w:divBdr>
      <w:divsChild>
        <w:div w:id="1940675004">
          <w:marLeft w:val="0"/>
          <w:marRight w:val="0"/>
          <w:marTop w:val="0"/>
          <w:marBottom w:val="0"/>
          <w:divBdr>
            <w:top w:val="none" w:sz="0" w:space="0" w:color="auto"/>
            <w:left w:val="none" w:sz="0" w:space="0" w:color="auto"/>
            <w:bottom w:val="none" w:sz="0" w:space="0" w:color="auto"/>
            <w:right w:val="none" w:sz="0" w:space="0" w:color="auto"/>
          </w:divBdr>
          <w:divsChild>
            <w:div w:id="603002501">
              <w:marLeft w:val="0"/>
              <w:marRight w:val="0"/>
              <w:marTop w:val="0"/>
              <w:marBottom w:val="0"/>
              <w:divBdr>
                <w:top w:val="none" w:sz="0" w:space="0" w:color="auto"/>
                <w:left w:val="none" w:sz="0" w:space="0" w:color="auto"/>
                <w:bottom w:val="none" w:sz="0" w:space="0" w:color="auto"/>
                <w:right w:val="none" w:sz="0" w:space="0" w:color="auto"/>
              </w:divBdr>
              <w:divsChild>
                <w:div w:id="144869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708696">
      <w:bodyDiv w:val="1"/>
      <w:marLeft w:val="0"/>
      <w:marRight w:val="0"/>
      <w:marTop w:val="0"/>
      <w:marBottom w:val="0"/>
      <w:divBdr>
        <w:top w:val="none" w:sz="0" w:space="0" w:color="auto"/>
        <w:left w:val="none" w:sz="0" w:space="0" w:color="auto"/>
        <w:bottom w:val="none" w:sz="0" w:space="0" w:color="auto"/>
        <w:right w:val="none" w:sz="0" w:space="0" w:color="auto"/>
      </w:divBdr>
    </w:div>
    <w:div w:id="488444372">
      <w:bodyDiv w:val="1"/>
      <w:marLeft w:val="0"/>
      <w:marRight w:val="0"/>
      <w:marTop w:val="0"/>
      <w:marBottom w:val="0"/>
      <w:divBdr>
        <w:top w:val="none" w:sz="0" w:space="0" w:color="auto"/>
        <w:left w:val="none" w:sz="0" w:space="0" w:color="auto"/>
        <w:bottom w:val="none" w:sz="0" w:space="0" w:color="auto"/>
        <w:right w:val="none" w:sz="0" w:space="0" w:color="auto"/>
      </w:divBdr>
      <w:divsChild>
        <w:div w:id="735590394">
          <w:marLeft w:val="300"/>
          <w:marRight w:val="0"/>
          <w:marTop w:val="0"/>
          <w:marBottom w:val="0"/>
          <w:divBdr>
            <w:top w:val="none" w:sz="0" w:space="0" w:color="auto"/>
            <w:left w:val="none" w:sz="0" w:space="0" w:color="auto"/>
            <w:bottom w:val="none" w:sz="0" w:space="0" w:color="auto"/>
            <w:right w:val="none" w:sz="0" w:space="0" w:color="auto"/>
          </w:divBdr>
        </w:div>
        <w:div w:id="325716747">
          <w:marLeft w:val="300"/>
          <w:marRight w:val="0"/>
          <w:marTop w:val="0"/>
          <w:marBottom w:val="0"/>
          <w:divBdr>
            <w:top w:val="none" w:sz="0" w:space="0" w:color="auto"/>
            <w:left w:val="none" w:sz="0" w:space="0" w:color="auto"/>
            <w:bottom w:val="none" w:sz="0" w:space="0" w:color="auto"/>
            <w:right w:val="none" w:sz="0" w:space="0" w:color="auto"/>
          </w:divBdr>
        </w:div>
      </w:divsChild>
    </w:div>
    <w:div w:id="495538362">
      <w:bodyDiv w:val="1"/>
      <w:marLeft w:val="0"/>
      <w:marRight w:val="0"/>
      <w:marTop w:val="0"/>
      <w:marBottom w:val="0"/>
      <w:divBdr>
        <w:top w:val="none" w:sz="0" w:space="0" w:color="auto"/>
        <w:left w:val="none" w:sz="0" w:space="0" w:color="auto"/>
        <w:bottom w:val="none" w:sz="0" w:space="0" w:color="auto"/>
        <w:right w:val="none" w:sz="0" w:space="0" w:color="auto"/>
      </w:divBdr>
    </w:div>
    <w:div w:id="496844326">
      <w:bodyDiv w:val="1"/>
      <w:marLeft w:val="0"/>
      <w:marRight w:val="0"/>
      <w:marTop w:val="0"/>
      <w:marBottom w:val="0"/>
      <w:divBdr>
        <w:top w:val="none" w:sz="0" w:space="0" w:color="auto"/>
        <w:left w:val="none" w:sz="0" w:space="0" w:color="auto"/>
        <w:bottom w:val="none" w:sz="0" w:space="0" w:color="auto"/>
        <w:right w:val="none" w:sz="0" w:space="0" w:color="auto"/>
      </w:divBdr>
    </w:div>
    <w:div w:id="603416553">
      <w:bodyDiv w:val="1"/>
      <w:marLeft w:val="0"/>
      <w:marRight w:val="0"/>
      <w:marTop w:val="0"/>
      <w:marBottom w:val="0"/>
      <w:divBdr>
        <w:top w:val="none" w:sz="0" w:space="0" w:color="auto"/>
        <w:left w:val="none" w:sz="0" w:space="0" w:color="auto"/>
        <w:bottom w:val="none" w:sz="0" w:space="0" w:color="auto"/>
        <w:right w:val="none" w:sz="0" w:space="0" w:color="auto"/>
      </w:divBdr>
      <w:divsChild>
        <w:div w:id="626162274">
          <w:marLeft w:val="0"/>
          <w:marRight w:val="0"/>
          <w:marTop w:val="0"/>
          <w:marBottom w:val="0"/>
          <w:divBdr>
            <w:top w:val="none" w:sz="0" w:space="0" w:color="auto"/>
            <w:left w:val="none" w:sz="0" w:space="0" w:color="auto"/>
            <w:bottom w:val="none" w:sz="0" w:space="0" w:color="auto"/>
            <w:right w:val="none" w:sz="0" w:space="0" w:color="auto"/>
          </w:divBdr>
          <w:divsChild>
            <w:div w:id="1281451877">
              <w:marLeft w:val="0"/>
              <w:marRight w:val="0"/>
              <w:marTop w:val="0"/>
              <w:marBottom w:val="0"/>
              <w:divBdr>
                <w:top w:val="none" w:sz="0" w:space="0" w:color="auto"/>
                <w:left w:val="none" w:sz="0" w:space="0" w:color="auto"/>
                <w:bottom w:val="none" w:sz="0" w:space="0" w:color="auto"/>
                <w:right w:val="none" w:sz="0" w:space="0" w:color="auto"/>
              </w:divBdr>
              <w:divsChild>
                <w:div w:id="36032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809399">
      <w:bodyDiv w:val="1"/>
      <w:marLeft w:val="0"/>
      <w:marRight w:val="0"/>
      <w:marTop w:val="0"/>
      <w:marBottom w:val="0"/>
      <w:divBdr>
        <w:top w:val="none" w:sz="0" w:space="0" w:color="auto"/>
        <w:left w:val="none" w:sz="0" w:space="0" w:color="auto"/>
        <w:bottom w:val="none" w:sz="0" w:space="0" w:color="auto"/>
        <w:right w:val="none" w:sz="0" w:space="0" w:color="auto"/>
      </w:divBdr>
      <w:divsChild>
        <w:div w:id="1072579106">
          <w:marLeft w:val="0"/>
          <w:marRight w:val="0"/>
          <w:marTop w:val="0"/>
          <w:marBottom w:val="0"/>
          <w:divBdr>
            <w:top w:val="none" w:sz="0" w:space="0" w:color="auto"/>
            <w:left w:val="none" w:sz="0" w:space="0" w:color="auto"/>
            <w:bottom w:val="none" w:sz="0" w:space="0" w:color="auto"/>
            <w:right w:val="none" w:sz="0" w:space="0" w:color="auto"/>
          </w:divBdr>
          <w:divsChild>
            <w:div w:id="877400113">
              <w:marLeft w:val="0"/>
              <w:marRight w:val="0"/>
              <w:marTop w:val="0"/>
              <w:marBottom w:val="0"/>
              <w:divBdr>
                <w:top w:val="none" w:sz="0" w:space="0" w:color="auto"/>
                <w:left w:val="none" w:sz="0" w:space="0" w:color="auto"/>
                <w:bottom w:val="none" w:sz="0" w:space="0" w:color="auto"/>
                <w:right w:val="none" w:sz="0" w:space="0" w:color="auto"/>
              </w:divBdr>
              <w:divsChild>
                <w:div w:id="192579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424687">
      <w:bodyDiv w:val="1"/>
      <w:marLeft w:val="0"/>
      <w:marRight w:val="0"/>
      <w:marTop w:val="0"/>
      <w:marBottom w:val="0"/>
      <w:divBdr>
        <w:top w:val="none" w:sz="0" w:space="0" w:color="auto"/>
        <w:left w:val="none" w:sz="0" w:space="0" w:color="auto"/>
        <w:bottom w:val="none" w:sz="0" w:space="0" w:color="auto"/>
        <w:right w:val="none" w:sz="0" w:space="0" w:color="auto"/>
      </w:divBdr>
      <w:divsChild>
        <w:div w:id="396441743">
          <w:marLeft w:val="0"/>
          <w:marRight w:val="0"/>
          <w:marTop w:val="0"/>
          <w:marBottom w:val="0"/>
          <w:divBdr>
            <w:top w:val="none" w:sz="0" w:space="0" w:color="auto"/>
            <w:left w:val="none" w:sz="0" w:space="0" w:color="auto"/>
            <w:bottom w:val="none" w:sz="0" w:space="0" w:color="auto"/>
            <w:right w:val="none" w:sz="0" w:space="0" w:color="auto"/>
          </w:divBdr>
          <w:divsChild>
            <w:div w:id="1351642207">
              <w:marLeft w:val="0"/>
              <w:marRight w:val="0"/>
              <w:marTop w:val="0"/>
              <w:marBottom w:val="0"/>
              <w:divBdr>
                <w:top w:val="none" w:sz="0" w:space="0" w:color="auto"/>
                <w:left w:val="none" w:sz="0" w:space="0" w:color="auto"/>
                <w:bottom w:val="none" w:sz="0" w:space="0" w:color="auto"/>
                <w:right w:val="none" w:sz="0" w:space="0" w:color="auto"/>
              </w:divBdr>
              <w:divsChild>
                <w:div w:id="1265919946">
                  <w:marLeft w:val="600"/>
                  <w:marRight w:val="600"/>
                  <w:marTop w:val="0"/>
                  <w:marBottom w:val="0"/>
                  <w:divBdr>
                    <w:top w:val="none" w:sz="0" w:space="0" w:color="auto"/>
                    <w:left w:val="none" w:sz="0" w:space="0" w:color="auto"/>
                    <w:bottom w:val="none" w:sz="0" w:space="0" w:color="auto"/>
                    <w:right w:val="none" w:sz="0" w:space="0" w:color="auto"/>
                  </w:divBdr>
                  <w:divsChild>
                    <w:div w:id="1872960402">
                      <w:marLeft w:val="0"/>
                      <w:marRight w:val="0"/>
                      <w:marTop w:val="0"/>
                      <w:marBottom w:val="0"/>
                      <w:divBdr>
                        <w:top w:val="none" w:sz="0" w:space="0" w:color="auto"/>
                        <w:left w:val="none" w:sz="0" w:space="0" w:color="auto"/>
                        <w:bottom w:val="none" w:sz="0" w:space="0" w:color="auto"/>
                        <w:right w:val="none" w:sz="0" w:space="0" w:color="auto"/>
                      </w:divBdr>
                      <w:divsChild>
                        <w:div w:id="81002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734785">
      <w:bodyDiv w:val="1"/>
      <w:marLeft w:val="0"/>
      <w:marRight w:val="0"/>
      <w:marTop w:val="0"/>
      <w:marBottom w:val="0"/>
      <w:divBdr>
        <w:top w:val="none" w:sz="0" w:space="0" w:color="auto"/>
        <w:left w:val="none" w:sz="0" w:space="0" w:color="auto"/>
        <w:bottom w:val="none" w:sz="0" w:space="0" w:color="auto"/>
        <w:right w:val="none" w:sz="0" w:space="0" w:color="auto"/>
      </w:divBdr>
    </w:div>
    <w:div w:id="652566113">
      <w:bodyDiv w:val="1"/>
      <w:marLeft w:val="0"/>
      <w:marRight w:val="0"/>
      <w:marTop w:val="0"/>
      <w:marBottom w:val="0"/>
      <w:divBdr>
        <w:top w:val="none" w:sz="0" w:space="0" w:color="auto"/>
        <w:left w:val="none" w:sz="0" w:space="0" w:color="auto"/>
        <w:bottom w:val="none" w:sz="0" w:space="0" w:color="auto"/>
        <w:right w:val="none" w:sz="0" w:space="0" w:color="auto"/>
      </w:divBdr>
    </w:div>
    <w:div w:id="654383783">
      <w:bodyDiv w:val="1"/>
      <w:marLeft w:val="0"/>
      <w:marRight w:val="0"/>
      <w:marTop w:val="0"/>
      <w:marBottom w:val="0"/>
      <w:divBdr>
        <w:top w:val="none" w:sz="0" w:space="0" w:color="auto"/>
        <w:left w:val="none" w:sz="0" w:space="0" w:color="auto"/>
        <w:bottom w:val="none" w:sz="0" w:space="0" w:color="auto"/>
        <w:right w:val="none" w:sz="0" w:space="0" w:color="auto"/>
      </w:divBdr>
      <w:divsChild>
        <w:div w:id="1172381249">
          <w:marLeft w:val="0"/>
          <w:marRight w:val="0"/>
          <w:marTop w:val="0"/>
          <w:marBottom w:val="0"/>
          <w:divBdr>
            <w:top w:val="none" w:sz="0" w:space="0" w:color="auto"/>
            <w:left w:val="none" w:sz="0" w:space="0" w:color="auto"/>
            <w:bottom w:val="none" w:sz="0" w:space="0" w:color="auto"/>
            <w:right w:val="none" w:sz="0" w:space="0" w:color="auto"/>
          </w:divBdr>
          <w:divsChild>
            <w:div w:id="1499492442">
              <w:marLeft w:val="0"/>
              <w:marRight w:val="0"/>
              <w:marTop w:val="0"/>
              <w:marBottom w:val="0"/>
              <w:divBdr>
                <w:top w:val="none" w:sz="0" w:space="0" w:color="auto"/>
                <w:left w:val="none" w:sz="0" w:space="0" w:color="auto"/>
                <w:bottom w:val="none" w:sz="0" w:space="0" w:color="auto"/>
                <w:right w:val="none" w:sz="0" w:space="0" w:color="auto"/>
              </w:divBdr>
              <w:divsChild>
                <w:div w:id="104498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575938">
      <w:bodyDiv w:val="1"/>
      <w:marLeft w:val="0"/>
      <w:marRight w:val="0"/>
      <w:marTop w:val="0"/>
      <w:marBottom w:val="0"/>
      <w:divBdr>
        <w:top w:val="none" w:sz="0" w:space="0" w:color="auto"/>
        <w:left w:val="none" w:sz="0" w:space="0" w:color="auto"/>
        <w:bottom w:val="none" w:sz="0" w:space="0" w:color="auto"/>
        <w:right w:val="none" w:sz="0" w:space="0" w:color="auto"/>
      </w:divBdr>
    </w:div>
    <w:div w:id="709110948">
      <w:bodyDiv w:val="1"/>
      <w:marLeft w:val="0"/>
      <w:marRight w:val="0"/>
      <w:marTop w:val="0"/>
      <w:marBottom w:val="0"/>
      <w:divBdr>
        <w:top w:val="none" w:sz="0" w:space="0" w:color="auto"/>
        <w:left w:val="none" w:sz="0" w:space="0" w:color="auto"/>
        <w:bottom w:val="none" w:sz="0" w:space="0" w:color="auto"/>
        <w:right w:val="none" w:sz="0" w:space="0" w:color="auto"/>
      </w:divBdr>
    </w:div>
    <w:div w:id="735474574">
      <w:bodyDiv w:val="1"/>
      <w:marLeft w:val="0"/>
      <w:marRight w:val="0"/>
      <w:marTop w:val="0"/>
      <w:marBottom w:val="0"/>
      <w:divBdr>
        <w:top w:val="none" w:sz="0" w:space="0" w:color="auto"/>
        <w:left w:val="none" w:sz="0" w:space="0" w:color="auto"/>
        <w:bottom w:val="none" w:sz="0" w:space="0" w:color="auto"/>
        <w:right w:val="none" w:sz="0" w:space="0" w:color="auto"/>
      </w:divBdr>
    </w:div>
    <w:div w:id="743379018">
      <w:bodyDiv w:val="1"/>
      <w:marLeft w:val="0"/>
      <w:marRight w:val="0"/>
      <w:marTop w:val="0"/>
      <w:marBottom w:val="0"/>
      <w:divBdr>
        <w:top w:val="none" w:sz="0" w:space="0" w:color="auto"/>
        <w:left w:val="none" w:sz="0" w:space="0" w:color="auto"/>
        <w:bottom w:val="none" w:sz="0" w:space="0" w:color="auto"/>
        <w:right w:val="none" w:sz="0" w:space="0" w:color="auto"/>
      </w:divBdr>
    </w:div>
    <w:div w:id="811799595">
      <w:bodyDiv w:val="1"/>
      <w:marLeft w:val="0"/>
      <w:marRight w:val="0"/>
      <w:marTop w:val="0"/>
      <w:marBottom w:val="0"/>
      <w:divBdr>
        <w:top w:val="none" w:sz="0" w:space="0" w:color="auto"/>
        <w:left w:val="none" w:sz="0" w:space="0" w:color="auto"/>
        <w:bottom w:val="none" w:sz="0" w:space="0" w:color="auto"/>
        <w:right w:val="none" w:sz="0" w:space="0" w:color="auto"/>
      </w:divBdr>
    </w:div>
    <w:div w:id="819006565">
      <w:bodyDiv w:val="1"/>
      <w:marLeft w:val="0"/>
      <w:marRight w:val="0"/>
      <w:marTop w:val="0"/>
      <w:marBottom w:val="0"/>
      <w:divBdr>
        <w:top w:val="none" w:sz="0" w:space="0" w:color="auto"/>
        <w:left w:val="none" w:sz="0" w:space="0" w:color="auto"/>
        <w:bottom w:val="none" w:sz="0" w:space="0" w:color="auto"/>
        <w:right w:val="none" w:sz="0" w:space="0" w:color="auto"/>
      </w:divBdr>
      <w:divsChild>
        <w:div w:id="837496540">
          <w:marLeft w:val="0"/>
          <w:marRight w:val="0"/>
          <w:marTop w:val="0"/>
          <w:marBottom w:val="0"/>
          <w:divBdr>
            <w:top w:val="none" w:sz="0" w:space="0" w:color="auto"/>
            <w:left w:val="none" w:sz="0" w:space="0" w:color="auto"/>
            <w:bottom w:val="none" w:sz="0" w:space="0" w:color="auto"/>
            <w:right w:val="none" w:sz="0" w:space="0" w:color="auto"/>
          </w:divBdr>
          <w:divsChild>
            <w:div w:id="1918435736">
              <w:marLeft w:val="0"/>
              <w:marRight w:val="0"/>
              <w:marTop w:val="0"/>
              <w:marBottom w:val="0"/>
              <w:divBdr>
                <w:top w:val="none" w:sz="0" w:space="0" w:color="auto"/>
                <w:left w:val="none" w:sz="0" w:space="0" w:color="auto"/>
                <w:bottom w:val="none" w:sz="0" w:space="0" w:color="auto"/>
                <w:right w:val="none" w:sz="0" w:space="0" w:color="auto"/>
              </w:divBdr>
              <w:divsChild>
                <w:div w:id="103280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630666">
      <w:bodyDiv w:val="1"/>
      <w:marLeft w:val="0"/>
      <w:marRight w:val="0"/>
      <w:marTop w:val="0"/>
      <w:marBottom w:val="0"/>
      <w:divBdr>
        <w:top w:val="none" w:sz="0" w:space="0" w:color="auto"/>
        <w:left w:val="none" w:sz="0" w:space="0" w:color="auto"/>
        <w:bottom w:val="none" w:sz="0" w:space="0" w:color="auto"/>
        <w:right w:val="none" w:sz="0" w:space="0" w:color="auto"/>
      </w:divBdr>
      <w:divsChild>
        <w:div w:id="1066731839">
          <w:marLeft w:val="0"/>
          <w:marRight w:val="0"/>
          <w:marTop w:val="0"/>
          <w:marBottom w:val="0"/>
          <w:divBdr>
            <w:top w:val="none" w:sz="0" w:space="0" w:color="auto"/>
            <w:left w:val="none" w:sz="0" w:space="0" w:color="auto"/>
            <w:bottom w:val="none" w:sz="0" w:space="0" w:color="auto"/>
            <w:right w:val="none" w:sz="0" w:space="0" w:color="auto"/>
          </w:divBdr>
        </w:div>
      </w:divsChild>
    </w:div>
    <w:div w:id="896168880">
      <w:bodyDiv w:val="1"/>
      <w:marLeft w:val="0"/>
      <w:marRight w:val="0"/>
      <w:marTop w:val="0"/>
      <w:marBottom w:val="0"/>
      <w:divBdr>
        <w:top w:val="none" w:sz="0" w:space="0" w:color="auto"/>
        <w:left w:val="none" w:sz="0" w:space="0" w:color="auto"/>
        <w:bottom w:val="none" w:sz="0" w:space="0" w:color="auto"/>
        <w:right w:val="none" w:sz="0" w:space="0" w:color="auto"/>
      </w:divBdr>
    </w:div>
    <w:div w:id="903761901">
      <w:bodyDiv w:val="1"/>
      <w:marLeft w:val="0"/>
      <w:marRight w:val="0"/>
      <w:marTop w:val="0"/>
      <w:marBottom w:val="0"/>
      <w:divBdr>
        <w:top w:val="none" w:sz="0" w:space="0" w:color="auto"/>
        <w:left w:val="none" w:sz="0" w:space="0" w:color="auto"/>
        <w:bottom w:val="none" w:sz="0" w:space="0" w:color="auto"/>
        <w:right w:val="none" w:sz="0" w:space="0" w:color="auto"/>
      </w:divBdr>
    </w:div>
    <w:div w:id="955217627">
      <w:bodyDiv w:val="1"/>
      <w:marLeft w:val="0"/>
      <w:marRight w:val="0"/>
      <w:marTop w:val="0"/>
      <w:marBottom w:val="0"/>
      <w:divBdr>
        <w:top w:val="none" w:sz="0" w:space="0" w:color="auto"/>
        <w:left w:val="none" w:sz="0" w:space="0" w:color="auto"/>
        <w:bottom w:val="none" w:sz="0" w:space="0" w:color="auto"/>
        <w:right w:val="none" w:sz="0" w:space="0" w:color="auto"/>
      </w:divBdr>
    </w:div>
    <w:div w:id="991179928">
      <w:bodyDiv w:val="1"/>
      <w:marLeft w:val="0"/>
      <w:marRight w:val="0"/>
      <w:marTop w:val="0"/>
      <w:marBottom w:val="0"/>
      <w:divBdr>
        <w:top w:val="none" w:sz="0" w:space="0" w:color="auto"/>
        <w:left w:val="none" w:sz="0" w:space="0" w:color="auto"/>
        <w:bottom w:val="none" w:sz="0" w:space="0" w:color="auto"/>
        <w:right w:val="none" w:sz="0" w:space="0" w:color="auto"/>
      </w:divBdr>
    </w:div>
    <w:div w:id="1025325500">
      <w:bodyDiv w:val="1"/>
      <w:marLeft w:val="0"/>
      <w:marRight w:val="0"/>
      <w:marTop w:val="0"/>
      <w:marBottom w:val="0"/>
      <w:divBdr>
        <w:top w:val="none" w:sz="0" w:space="0" w:color="auto"/>
        <w:left w:val="none" w:sz="0" w:space="0" w:color="auto"/>
        <w:bottom w:val="none" w:sz="0" w:space="0" w:color="auto"/>
        <w:right w:val="none" w:sz="0" w:space="0" w:color="auto"/>
      </w:divBdr>
    </w:div>
    <w:div w:id="1077240293">
      <w:bodyDiv w:val="1"/>
      <w:marLeft w:val="0"/>
      <w:marRight w:val="0"/>
      <w:marTop w:val="0"/>
      <w:marBottom w:val="0"/>
      <w:divBdr>
        <w:top w:val="none" w:sz="0" w:space="0" w:color="auto"/>
        <w:left w:val="none" w:sz="0" w:space="0" w:color="auto"/>
        <w:bottom w:val="none" w:sz="0" w:space="0" w:color="auto"/>
        <w:right w:val="none" w:sz="0" w:space="0" w:color="auto"/>
      </w:divBdr>
    </w:div>
    <w:div w:id="1138566787">
      <w:bodyDiv w:val="1"/>
      <w:marLeft w:val="0"/>
      <w:marRight w:val="0"/>
      <w:marTop w:val="0"/>
      <w:marBottom w:val="0"/>
      <w:divBdr>
        <w:top w:val="none" w:sz="0" w:space="0" w:color="auto"/>
        <w:left w:val="none" w:sz="0" w:space="0" w:color="auto"/>
        <w:bottom w:val="none" w:sz="0" w:space="0" w:color="auto"/>
        <w:right w:val="none" w:sz="0" w:space="0" w:color="auto"/>
      </w:divBdr>
      <w:divsChild>
        <w:div w:id="154152765">
          <w:marLeft w:val="0"/>
          <w:marRight w:val="0"/>
          <w:marTop w:val="0"/>
          <w:marBottom w:val="0"/>
          <w:divBdr>
            <w:top w:val="none" w:sz="0" w:space="0" w:color="auto"/>
            <w:left w:val="none" w:sz="0" w:space="0" w:color="auto"/>
            <w:bottom w:val="none" w:sz="0" w:space="0" w:color="auto"/>
            <w:right w:val="none" w:sz="0" w:space="0" w:color="auto"/>
          </w:divBdr>
          <w:divsChild>
            <w:div w:id="1546991527">
              <w:marLeft w:val="0"/>
              <w:marRight w:val="0"/>
              <w:marTop w:val="0"/>
              <w:marBottom w:val="0"/>
              <w:divBdr>
                <w:top w:val="none" w:sz="0" w:space="0" w:color="auto"/>
                <w:left w:val="none" w:sz="0" w:space="0" w:color="auto"/>
                <w:bottom w:val="none" w:sz="0" w:space="0" w:color="auto"/>
                <w:right w:val="none" w:sz="0" w:space="0" w:color="auto"/>
              </w:divBdr>
              <w:divsChild>
                <w:div w:id="46088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032760">
      <w:bodyDiv w:val="1"/>
      <w:marLeft w:val="0"/>
      <w:marRight w:val="0"/>
      <w:marTop w:val="0"/>
      <w:marBottom w:val="0"/>
      <w:divBdr>
        <w:top w:val="none" w:sz="0" w:space="0" w:color="auto"/>
        <w:left w:val="none" w:sz="0" w:space="0" w:color="auto"/>
        <w:bottom w:val="none" w:sz="0" w:space="0" w:color="auto"/>
        <w:right w:val="none" w:sz="0" w:space="0" w:color="auto"/>
      </w:divBdr>
    </w:div>
    <w:div w:id="1216236918">
      <w:bodyDiv w:val="1"/>
      <w:marLeft w:val="0"/>
      <w:marRight w:val="0"/>
      <w:marTop w:val="0"/>
      <w:marBottom w:val="0"/>
      <w:divBdr>
        <w:top w:val="none" w:sz="0" w:space="0" w:color="auto"/>
        <w:left w:val="none" w:sz="0" w:space="0" w:color="auto"/>
        <w:bottom w:val="none" w:sz="0" w:space="0" w:color="auto"/>
        <w:right w:val="none" w:sz="0" w:space="0" w:color="auto"/>
      </w:divBdr>
    </w:div>
    <w:div w:id="1376350649">
      <w:bodyDiv w:val="1"/>
      <w:marLeft w:val="0"/>
      <w:marRight w:val="0"/>
      <w:marTop w:val="0"/>
      <w:marBottom w:val="0"/>
      <w:divBdr>
        <w:top w:val="none" w:sz="0" w:space="0" w:color="auto"/>
        <w:left w:val="none" w:sz="0" w:space="0" w:color="auto"/>
        <w:bottom w:val="none" w:sz="0" w:space="0" w:color="auto"/>
        <w:right w:val="none" w:sz="0" w:space="0" w:color="auto"/>
      </w:divBdr>
    </w:div>
    <w:div w:id="1391424489">
      <w:bodyDiv w:val="1"/>
      <w:marLeft w:val="0"/>
      <w:marRight w:val="0"/>
      <w:marTop w:val="0"/>
      <w:marBottom w:val="0"/>
      <w:divBdr>
        <w:top w:val="none" w:sz="0" w:space="0" w:color="auto"/>
        <w:left w:val="none" w:sz="0" w:space="0" w:color="auto"/>
        <w:bottom w:val="none" w:sz="0" w:space="0" w:color="auto"/>
        <w:right w:val="none" w:sz="0" w:space="0" w:color="auto"/>
      </w:divBdr>
    </w:div>
    <w:div w:id="1392461761">
      <w:bodyDiv w:val="1"/>
      <w:marLeft w:val="0"/>
      <w:marRight w:val="0"/>
      <w:marTop w:val="0"/>
      <w:marBottom w:val="0"/>
      <w:divBdr>
        <w:top w:val="none" w:sz="0" w:space="0" w:color="auto"/>
        <w:left w:val="none" w:sz="0" w:space="0" w:color="auto"/>
        <w:bottom w:val="none" w:sz="0" w:space="0" w:color="auto"/>
        <w:right w:val="none" w:sz="0" w:space="0" w:color="auto"/>
      </w:divBdr>
      <w:divsChild>
        <w:div w:id="1710496285">
          <w:marLeft w:val="0"/>
          <w:marRight w:val="0"/>
          <w:marTop w:val="0"/>
          <w:marBottom w:val="0"/>
          <w:divBdr>
            <w:top w:val="none" w:sz="0" w:space="0" w:color="auto"/>
            <w:left w:val="none" w:sz="0" w:space="0" w:color="auto"/>
            <w:bottom w:val="none" w:sz="0" w:space="0" w:color="auto"/>
            <w:right w:val="none" w:sz="0" w:space="0" w:color="auto"/>
          </w:divBdr>
          <w:divsChild>
            <w:div w:id="958336170">
              <w:marLeft w:val="0"/>
              <w:marRight w:val="0"/>
              <w:marTop w:val="0"/>
              <w:marBottom w:val="0"/>
              <w:divBdr>
                <w:top w:val="none" w:sz="0" w:space="0" w:color="auto"/>
                <w:left w:val="none" w:sz="0" w:space="0" w:color="auto"/>
                <w:bottom w:val="none" w:sz="0" w:space="0" w:color="auto"/>
                <w:right w:val="none" w:sz="0" w:space="0" w:color="auto"/>
              </w:divBdr>
              <w:divsChild>
                <w:div w:id="46589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79460">
      <w:bodyDiv w:val="1"/>
      <w:marLeft w:val="0"/>
      <w:marRight w:val="0"/>
      <w:marTop w:val="0"/>
      <w:marBottom w:val="0"/>
      <w:divBdr>
        <w:top w:val="none" w:sz="0" w:space="0" w:color="auto"/>
        <w:left w:val="none" w:sz="0" w:space="0" w:color="auto"/>
        <w:bottom w:val="none" w:sz="0" w:space="0" w:color="auto"/>
        <w:right w:val="none" w:sz="0" w:space="0" w:color="auto"/>
      </w:divBdr>
    </w:div>
    <w:div w:id="1506552512">
      <w:bodyDiv w:val="1"/>
      <w:marLeft w:val="0"/>
      <w:marRight w:val="0"/>
      <w:marTop w:val="0"/>
      <w:marBottom w:val="0"/>
      <w:divBdr>
        <w:top w:val="none" w:sz="0" w:space="0" w:color="auto"/>
        <w:left w:val="none" w:sz="0" w:space="0" w:color="auto"/>
        <w:bottom w:val="none" w:sz="0" w:space="0" w:color="auto"/>
        <w:right w:val="none" w:sz="0" w:space="0" w:color="auto"/>
      </w:divBdr>
    </w:div>
    <w:div w:id="1517690453">
      <w:bodyDiv w:val="1"/>
      <w:marLeft w:val="0"/>
      <w:marRight w:val="0"/>
      <w:marTop w:val="0"/>
      <w:marBottom w:val="0"/>
      <w:divBdr>
        <w:top w:val="none" w:sz="0" w:space="0" w:color="auto"/>
        <w:left w:val="none" w:sz="0" w:space="0" w:color="auto"/>
        <w:bottom w:val="none" w:sz="0" w:space="0" w:color="auto"/>
        <w:right w:val="none" w:sz="0" w:space="0" w:color="auto"/>
      </w:divBdr>
    </w:div>
    <w:div w:id="1579437118">
      <w:bodyDiv w:val="1"/>
      <w:marLeft w:val="0"/>
      <w:marRight w:val="0"/>
      <w:marTop w:val="0"/>
      <w:marBottom w:val="0"/>
      <w:divBdr>
        <w:top w:val="none" w:sz="0" w:space="0" w:color="auto"/>
        <w:left w:val="none" w:sz="0" w:space="0" w:color="auto"/>
        <w:bottom w:val="none" w:sz="0" w:space="0" w:color="auto"/>
        <w:right w:val="none" w:sz="0" w:space="0" w:color="auto"/>
      </w:divBdr>
    </w:div>
    <w:div w:id="1611207881">
      <w:bodyDiv w:val="1"/>
      <w:marLeft w:val="0"/>
      <w:marRight w:val="0"/>
      <w:marTop w:val="0"/>
      <w:marBottom w:val="0"/>
      <w:divBdr>
        <w:top w:val="none" w:sz="0" w:space="0" w:color="auto"/>
        <w:left w:val="none" w:sz="0" w:space="0" w:color="auto"/>
        <w:bottom w:val="none" w:sz="0" w:space="0" w:color="auto"/>
        <w:right w:val="none" w:sz="0" w:space="0" w:color="auto"/>
      </w:divBdr>
    </w:div>
    <w:div w:id="1629243430">
      <w:bodyDiv w:val="1"/>
      <w:marLeft w:val="0"/>
      <w:marRight w:val="0"/>
      <w:marTop w:val="0"/>
      <w:marBottom w:val="0"/>
      <w:divBdr>
        <w:top w:val="none" w:sz="0" w:space="0" w:color="auto"/>
        <w:left w:val="none" w:sz="0" w:space="0" w:color="auto"/>
        <w:bottom w:val="none" w:sz="0" w:space="0" w:color="auto"/>
        <w:right w:val="none" w:sz="0" w:space="0" w:color="auto"/>
      </w:divBdr>
      <w:divsChild>
        <w:div w:id="1735465745">
          <w:marLeft w:val="0"/>
          <w:marRight w:val="0"/>
          <w:marTop w:val="0"/>
          <w:marBottom w:val="0"/>
          <w:divBdr>
            <w:top w:val="none" w:sz="0" w:space="0" w:color="auto"/>
            <w:left w:val="none" w:sz="0" w:space="0" w:color="auto"/>
            <w:bottom w:val="none" w:sz="0" w:space="0" w:color="auto"/>
            <w:right w:val="none" w:sz="0" w:space="0" w:color="auto"/>
          </w:divBdr>
          <w:divsChild>
            <w:div w:id="417947010">
              <w:marLeft w:val="0"/>
              <w:marRight w:val="0"/>
              <w:marTop w:val="0"/>
              <w:marBottom w:val="0"/>
              <w:divBdr>
                <w:top w:val="none" w:sz="0" w:space="0" w:color="auto"/>
                <w:left w:val="none" w:sz="0" w:space="0" w:color="auto"/>
                <w:bottom w:val="none" w:sz="0" w:space="0" w:color="auto"/>
                <w:right w:val="none" w:sz="0" w:space="0" w:color="auto"/>
              </w:divBdr>
              <w:divsChild>
                <w:div w:id="166705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04255">
      <w:bodyDiv w:val="1"/>
      <w:marLeft w:val="0"/>
      <w:marRight w:val="0"/>
      <w:marTop w:val="0"/>
      <w:marBottom w:val="0"/>
      <w:divBdr>
        <w:top w:val="none" w:sz="0" w:space="0" w:color="auto"/>
        <w:left w:val="none" w:sz="0" w:space="0" w:color="auto"/>
        <w:bottom w:val="none" w:sz="0" w:space="0" w:color="auto"/>
        <w:right w:val="none" w:sz="0" w:space="0" w:color="auto"/>
      </w:divBdr>
    </w:div>
    <w:div w:id="1816221982">
      <w:bodyDiv w:val="1"/>
      <w:marLeft w:val="0"/>
      <w:marRight w:val="0"/>
      <w:marTop w:val="0"/>
      <w:marBottom w:val="0"/>
      <w:divBdr>
        <w:top w:val="none" w:sz="0" w:space="0" w:color="auto"/>
        <w:left w:val="none" w:sz="0" w:space="0" w:color="auto"/>
        <w:bottom w:val="none" w:sz="0" w:space="0" w:color="auto"/>
        <w:right w:val="none" w:sz="0" w:space="0" w:color="auto"/>
      </w:divBdr>
    </w:div>
    <w:div w:id="1846020208">
      <w:bodyDiv w:val="1"/>
      <w:marLeft w:val="0"/>
      <w:marRight w:val="0"/>
      <w:marTop w:val="0"/>
      <w:marBottom w:val="0"/>
      <w:divBdr>
        <w:top w:val="none" w:sz="0" w:space="0" w:color="auto"/>
        <w:left w:val="none" w:sz="0" w:space="0" w:color="auto"/>
        <w:bottom w:val="none" w:sz="0" w:space="0" w:color="auto"/>
        <w:right w:val="none" w:sz="0" w:space="0" w:color="auto"/>
      </w:divBdr>
    </w:div>
    <w:div w:id="1913277519">
      <w:bodyDiv w:val="1"/>
      <w:marLeft w:val="0"/>
      <w:marRight w:val="0"/>
      <w:marTop w:val="0"/>
      <w:marBottom w:val="0"/>
      <w:divBdr>
        <w:top w:val="none" w:sz="0" w:space="0" w:color="auto"/>
        <w:left w:val="none" w:sz="0" w:space="0" w:color="auto"/>
        <w:bottom w:val="none" w:sz="0" w:space="0" w:color="auto"/>
        <w:right w:val="none" w:sz="0" w:space="0" w:color="auto"/>
      </w:divBdr>
    </w:div>
    <w:div w:id="1914045654">
      <w:bodyDiv w:val="1"/>
      <w:marLeft w:val="0"/>
      <w:marRight w:val="0"/>
      <w:marTop w:val="0"/>
      <w:marBottom w:val="0"/>
      <w:divBdr>
        <w:top w:val="none" w:sz="0" w:space="0" w:color="auto"/>
        <w:left w:val="none" w:sz="0" w:space="0" w:color="auto"/>
        <w:bottom w:val="none" w:sz="0" w:space="0" w:color="auto"/>
        <w:right w:val="none" w:sz="0" w:space="0" w:color="auto"/>
      </w:divBdr>
    </w:div>
    <w:div w:id="2036954491">
      <w:bodyDiv w:val="1"/>
      <w:marLeft w:val="0"/>
      <w:marRight w:val="0"/>
      <w:marTop w:val="0"/>
      <w:marBottom w:val="0"/>
      <w:divBdr>
        <w:top w:val="none" w:sz="0" w:space="0" w:color="auto"/>
        <w:left w:val="none" w:sz="0" w:space="0" w:color="auto"/>
        <w:bottom w:val="none" w:sz="0" w:space="0" w:color="auto"/>
        <w:right w:val="none" w:sz="0" w:space="0" w:color="auto"/>
      </w:divBdr>
    </w:div>
    <w:div w:id="2064987536">
      <w:bodyDiv w:val="1"/>
      <w:marLeft w:val="0"/>
      <w:marRight w:val="0"/>
      <w:marTop w:val="0"/>
      <w:marBottom w:val="0"/>
      <w:divBdr>
        <w:top w:val="none" w:sz="0" w:space="0" w:color="auto"/>
        <w:left w:val="none" w:sz="0" w:space="0" w:color="auto"/>
        <w:bottom w:val="none" w:sz="0" w:space="0" w:color="auto"/>
        <w:right w:val="none" w:sz="0" w:space="0" w:color="auto"/>
      </w:divBdr>
    </w:div>
    <w:div w:id="2115007273">
      <w:bodyDiv w:val="1"/>
      <w:marLeft w:val="0"/>
      <w:marRight w:val="0"/>
      <w:marTop w:val="0"/>
      <w:marBottom w:val="0"/>
      <w:divBdr>
        <w:top w:val="none" w:sz="0" w:space="0" w:color="auto"/>
        <w:left w:val="none" w:sz="0" w:space="0" w:color="auto"/>
        <w:bottom w:val="none" w:sz="0" w:space="0" w:color="auto"/>
        <w:right w:val="none" w:sz="0" w:space="0" w:color="auto"/>
      </w:divBdr>
      <w:divsChild>
        <w:div w:id="1841040014">
          <w:blockQuote w:val="1"/>
          <w:marLeft w:val="96"/>
          <w:marRight w:val="96"/>
          <w:marTop w:val="269"/>
          <w:marBottom w:val="269"/>
          <w:divBdr>
            <w:top w:val="none" w:sz="0" w:space="0" w:color="auto"/>
            <w:left w:val="none" w:sz="0" w:space="0" w:color="auto"/>
            <w:bottom w:val="none" w:sz="0" w:space="0" w:color="auto"/>
            <w:right w:val="none" w:sz="0" w:space="0" w:color="auto"/>
          </w:divBdr>
          <w:divsChild>
            <w:div w:id="186722440">
              <w:marLeft w:val="0"/>
              <w:marRight w:val="0"/>
              <w:marTop w:val="0"/>
              <w:marBottom w:val="0"/>
              <w:divBdr>
                <w:top w:val="none" w:sz="0" w:space="0" w:color="auto"/>
                <w:left w:val="none" w:sz="0" w:space="0" w:color="auto"/>
                <w:bottom w:val="none" w:sz="0" w:space="0" w:color="auto"/>
                <w:right w:val="none" w:sz="0" w:space="0" w:color="auto"/>
              </w:divBdr>
              <w:divsChild>
                <w:div w:id="463349109">
                  <w:marLeft w:val="0"/>
                  <w:marRight w:val="0"/>
                  <w:marTop w:val="0"/>
                  <w:marBottom w:val="0"/>
                  <w:divBdr>
                    <w:top w:val="none" w:sz="0" w:space="0" w:color="auto"/>
                    <w:left w:val="none" w:sz="0" w:space="0" w:color="auto"/>
                    <w:bottom w:val="none" w:sz="0" w:space="0" w:color="auto"/>
                    <w:right w:val="none" w:sz="0" w:space="0" w:color="auto"/>
                  </w:divBdr>
                  <w:divsChild>
                    <w:div w:id="1081220893">
                      <w:marLeft w:val="0"/>
                      <w:marRight w:val="0"/>
                      <w:marTop w:val="0"/>
                      <w:marBottom w:val="0"/>
                      <w:divBdr>
                        <w:top w:val="none" w:sz="0" w:space="0" w:color="auto"/>
                        <w:left w:val="none" w:sz="0" w:space="0" w:color="auto"/>
                        <w:bottom w:val="none" w:sz="0" w:space="0" w:color="auto"/>
                        <w:right w:val="none" w:sz="0" w:space="0" w:color="auto"/>
                      </w:divBdr>
                      <w:divsChild>
                        <w:div w:id="51067889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70015250">
                              <w:marLeft w:val="0"/>
                              <w:marRight w:val="0"/>
                              <w:marTop w:val="0"/>
                              <w:marBottom w:val="0"/>
                              <w:divBdr>
                                <w:top w:val="none" w:sz="0" w:space="0" w:color="auto"/>
                                <w:left w:val="none" w:sz="0" w:space="0" w:color="auto"/>
                                <w:bottom w:val="none" w:sz="0" w:space="0" w:color="auto"/>
                                <w:right w:val="none" w:sz="0" w:space="0" w:color="auto"/>
                              </w:divBdr>
                              <w:divsChild>
                                <w:div w:id="13199390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43753519">
                                      <w:marLeft w:val="0"/>
                                      <w:marRight w:val="0"/>
                                      <w:marTop w:val="0"/>
                                      <w:marBottom w:val="0"/>
                                      <w:divBdr>
                                        <w:top w:val="none" w:sz="0" w:space="0" w:color="auto"/>
                                        <w:left w:val="none" w:sz="0" w:space="0" w:color="auto"/>
                                        <w:bottom w:val="none" w:sz="0" w:space="0" w:color="auto"/>
                                        <w:right w:val="none" w:sz="0" w:space="0" w:color="auto"/>
                                      </w:divBdr>
                                      <w:divsChild>
                                        <w:div w:id="495074736">
                                          <w:marLeft w:val="0"/>
                                          <w:marRight w:val="0"/>
                                          <w:marTop w:val="0"/>
                                          <w:marBottom w:val="0"/>
                                          <w:divBdr>
                                            <w:top w:val="none" w:sz="0" w:space="0" w:color="auto"/>
                                            <w:left w:val="none" w:sz="0" w:space="0" w:color="auto"/>
                                            <w:bottom w:val="none" w:sz="0" w:space="0" w:color="auto"/>
                                            <w:right w:val="none" w:sz="0" w:space="0" w:color="auto"/>
                                          </w:divBdr>
                                          <w:divsChild>
                                            <w:div w:id="450512302">
                                              <w:marLeft w:val="0"/>
                                              <w:marRight w:val="0"/>
                                              <w:marTop w:val="0"/>
                                              <w:marBottom w:val="0"/>
                                              <w:divBdr>
                                                <w:top w:val="none" w:sz="0" w:space="0" w:color="auto"/>
                                                <w:left w:val="none" w:sz="0" w:space="0" w:color="auto"/>
                                                <w:bottom w:val="none" w:sz="0" w:space="0" w:color="auto"/>
                                                <w:right w:val="none" w:sz="0" w:space="0" w:color="auto"/>
                                              </w:divBdr>
                                            </w:div>
                                            <w:div w:id="1723287733">
                                              <w:marLeft w:val="0"/>
                                              <w:marRight w:val="0"/>
                                              <w:marTop w:val="0"/>
                                              <w:marBottom w:val="0"/>
                                              <w:divBdr>
                                                <w:top w:val="none" w:sz="0" w:space="0" w:color="auto"/>
                                                <w:left w:val="none" w:sz="0" w:space="0" w:color="auto"/>
                                                <w:bottom w:val="none" w:sz="0" w:space="0" w:color="auto"/>
                                                <w:right w:val="none" w:sz="0" w:space="0" w:color="auto"/>
                                              </w:divBdr>
                                            </w:div>
                                            <w:div w:id="1867014139">
                                              <w:marLeft w:val="0"/>
                                              <w:marRight w:val="0"/>
                                              <w:marTop w:val="0"/>
                                              <w:marBottom w:val="0"/>
                                              <w:divBdr>
                                                <w:top w:val="none" w:sz="0" w:space="0" w:color="auto"/>
                                                <w:left w:val="none" w:sz="0" w:space="0" w:color="auto"/>
                                                <w:bottom w:val="none" w:sz="0" w:space="0" w:color="auto"/>
                                                <w:right w:val="none" w:sz="0" w:space="0" w:color="auto"/>
                                              </w:divBdr>
                                            </w:div>
                                            <w:div w:id="1585335925">
                                              <w:marLeft w:val="0"/>
                                              <w:marRight w:val="0"/>
                                              <w:marTop w:val="0"/>
                                              <w:marBottom w:val="0"/>
                                              <w:divBdr>
                                                <w:top w:val="none" w:sz="0" w:space="0" w:color="auto"/>
                                                <w:left w:val="none" w:sz="0" w:space="0" w:color="auto"/>
                                                <w:bottom w:val="none" w:sz="0" w:space="0" w:color="auto"/>
                                                <w:right w:val="none" w:sz="0" w:space="0" w:color="auto"/>
                                              </w:divBdr>
                                            </w:div>
                                            <w:div w:id="186414505">
                                              <w:marLeft w:val="0"/>
                                              <w:marRight w:val="0"/>
                                              <w:marTop w:val="0"/>
                                              <w:marBottom w:val="0"/>
                                              <w:divBdr>
                                                <w:top w:val="none" w:sz="0" w:space="0" w:color="auto"/>
                                                <w:left w:val="none" w:sz="0" w:space="0" w:color="auto"/>
                                                <w:bottom w:val="none" w:sz="0" w:space="0" w:color="auto"/>
                                                <w:right w:val="none" w:sz="0" w:space="0" w:color="auto"/>
                                              </w:divBdr>
                                            </w:div>
                                            <w:div w:id="1885092731">
                                              <w:marLeft w:val="0"/>
                                              <w:marRight w:val="0"/>
                                              <w:marTop w:val="0"/>
                                              <w:marBottom w:val="0"/>
                                              <w:divBdr>
                                                <w:top w:val="none" w:sz="0" w:space="0" w:color="auto"/>
                                                <w:left w:val="none" w:sz="0" w:space="0" w:color="auto"/>
                                                <w:bottom w:val="none" w:sz="0" w:space="0" w:color="auto"/>
                                                <w:right w:val="none" w:sz="0" w:space="0" w:color="auto"/>
                                              </w:divBdr>
                                            </w:div>
                                            <w:div w:id="1925604470">
                                              <w:marLeft w:val="0"/>
                                              <w:marRight w:val="0"/>
                                              <w:marTop w:val="0"/>
                                              <w:marBottom w:val="0"/>
                                              <w:divBdr>
                                                <w:top w:val="none" w:sz="0" w:space="0" w:color="auto"/>
                                                <w:left w:val="none" w:sz="0" w:space="0" w:color="auto"/>
                                                <w:bottom w:val="none" w:sz="0" w:space="0" w:color="auto"/>
                                                <w:right w:val="none" w:sz="0" w:space="0" w:color="auto"/>
                                              </w:divBdr>
                                            </w:div>
                                            <w:div w:id="420417777">
                                              <w:marLeft w:val="0"/>
                                              <w:marRight w:val="0"/>
                                              <w:marTop w:val="0"/>
                                              <w:marBottom w:val="0"/>
                                              <w:divBdr>
                                                <w:top w:val="none" w:sz="0" w:space="0" w:color="auto"/>
                                                <w:left w:val="none" w:sz="0" w:space="0" w:color="auto"/>
                                                <w:bottom w:val="none" w:sz="0" w:space="0" w:color="auto"/>
                                                <w:right w:val="none" w:sz="0" w:space="0" w:color="auto"/>
                                              </w:divBdr>
                                            </w:div>
                                            <w:div w:id="179322736">
                                              <w:marLeft w:val="0"/>
                                              <w:marRight w:val="0"/>
                                              <w:marTop w:val="0"/>
                                              <w:marBottom w:val="0"/>
                                              <w:divBdr>
                                                <w:top w:val="none" w:sz="0" w:space="0" w:color="auto"/>
                                                <w:left w:val="none" w:sz="0" w:space="0" w:color="auto"/>
                                                <w:bottom w:val="none" w:sz="0" w:space="0" w:color="auto"/>
                                                <w:right w:val="none" w:sz="0" w:space="0" w:color="auto"/>
                                              </w:divBdr>
                                            </w:div>
                                            <w:div w:id="1647857814">
                                              <w:marLeft w:val="0"/>
                                              <w:marRight w:val="0"/>
                                              <w:marTop w:val="0"/>
                                              <w:marBottom w:val="0"/>
                                              <w:divBdr>
                                                <w:top w:val="none" w:sz="0" w:space="0" w:color="auto"/>
                                                <w:left w:val="none" w:sz="0" w:space="0" w:color="auto"/>
                                                <w:bottom w:val="none" w:sz="0" w:space="0" w:color="auto"/>
                                                <w:right w:val="none" w:sz="0" w:space="0" w:color="auto"/>
                                              </w:divBdr>
                                            </w:div>
                                            <w:div w:id="500856180">
                                              <w:marLeft w:val="0"/>
                                              <w:marRight w:val="0"/>
                                              <w:marTop w:val="0"/>
                                              <w:marBottom w:val="0"/>
                                              <w:divBdr>
                                                <w:top w:val="none" w:sz="0" w:space="0" w:color="auto"/>
                                                <w:left w:val="none" w:sz="0" w:space="0" w:color="auto"/>
                                                <w:bottom w:val="none" w:sz="0" w:space="0" w:color="auto"/>
                                                <w:right w:val="none" w:sz="0" w:space="0" w:color="auto"/>
                                              </w:divBdr>
                                            </w:div>
                                            <w:div w:id="52436117">
                                              <w:marLeft w:val="0"/>
                                              <w:marRight w:val="0"/>
                                              <w:marTop w:val="0"/>
                                              <w:marBottom w:val="0"/>
                                              <w:divBdr>
                                                <w:top w:val="none" w:sz="0" w:space="0" w:color="auto"/>
                                                <w:left w:val="none" w:sz="0" w:space="0" w:color="auto"/>
                                                <w:bottom w:val="none" w:sz="0" w:space="0" w:color="auto"/>
                                                <w:right w:val="none" w:sz="0" w:space="0" w:color="auto"/>
                                              </w:divBdr>
                                            </w:div>
                                            <w:div w:id="833649676">
                                              <w:marLeft w:val="0"/>
                                              <w:marRight w:val="0"/>
                                              <w:marTop w:val="0"/>
                                              <w:marBottom w:val="0"/>
                                              <w:divBdr>
                                                <w:top w:val="none" w:sz="0" w:space="0" w:color="auto"/>
                                                <w:left w:val="none" w:sz="0" w:space="0" w:color="auto"/>
                                                <w:bottom w:val="none" w:sz="0" w:space="0" w:color="auto"/>
                                                <w:right w:val="none" w:sz="0" w:space="0" w:color="auto"/>
                                              </w:divBdr>
                                              <w:divsChild>
                                                <w:div w:id="321204222">
                                                  <w:marLeft w:val="0"/>
                                                  <w:marRight w:val="0"/>
                                                  <w:marTop w:val="0"/>
                                                  <w:marBottom w:val="0"/>
                                                  <w:divBdr>
                                                    <w:top w:val="none" w:sz="0" w:space="0" w:color="auto"/>
                                                    <w:left w:val="none" w:sz="0" w:space="0" w:color="auto"/>
                                                    <w:bottom w:val="none" w:sz="0" w:space="0" w:color="auto"/>
                                                    <w:right w:val="none" w:sz="0" w:space="0" w:color="auto"/>
                                                  </w:divBdr>
                                                </w:div>
                                                <w:div w:id="1140802855">
                                                  <w:marLeft w:val="0"/>
                                                  <w:marRight w:val="0"/>
                                                  <w:marTop w:val="0"/>
                                                  <w:marBottom w:val="0"/>
                                                  <w:divBdr>
                                                    <w:top w:val="none" w:sz="0" w:space="0" w:color="auto"/>
                                                    <w:left w:val="none" w:sz="0" w:space="0" w:color="auto"/>
                                                    <w:bottom w:val="none" w:sz="0" w:space="0" w:color="auto"/>
                                                    <w:right w:val="none" w:sz="0" w:space="0" w:color="auto"/>
                                                  </w:divBdr>
                                                </w:div>
                                                <w:div w:id="2016833310">
                                                  <w:marLeft w:val="0"/>
                                                  <w:marRight w:val="0"/>
                                                  <w:marTop w:val="0"/>
                                                  <w:marBottom w:val="0"/>
                                                  <w:divBdr>
                                                    <w:top w:val="none" w:sz="0" w:space="0" w:color="auto"/>
                                                    <w:left w:val="none" w:sz="0" w:space="0" w:color="auto"/>
                                                    <w:bottom w:val="none" w:sz="0" w:space="0" w:color="auto"/>
                                                    <w:right w:val="none" w:sz="0" w:space="0" w:color="auto"/>
                                                  </w:divBdr>
                                                </w:div>
                                                <w:div w:id="1784420852">
                                                  <w:marLeft w:val="0"/>
                                                  <w:marRight w:val="0"/>
                                                  <w:marTop w:val="0"/>
                                                  <w:marBottom w:val="0"/>
                                                  <w:divBdr>
                                                    <w:top w:val="none" w:sz="0" w:space="0" w:color="auto"/>
                                                    <w:left w:val="none" w:sz="0" w:space="0" w:color="auto"/>
                                                    <w:bottom w:val="none" w:sz="0" w:space="0" w:color="auto"/>
                                                    <w:right w:val="none" w:sz="0" w:space="0" w:color="auto"/>
                                                  </w:divBdr>
                                                </w:div>
                                                <w:div w:id="848447212">
                                                  <w:marLeft w:val="0"/>
                                                  <w:marRight w:val="0"/>
                                                  <w:marTop w:val="0"/>
                                                  <w:marBottom w:val="0"/>
                                                  <w:divBdr>
                                                    <w:top w:val="none" w:sz="0" w:space="0" w:color="auto"/>
                                                    <w:left w:val="none" w:sz="0" w:space="0" w:color="auto"/>
                                                    <w:bottom w:val="none" w:sz="0" w:space="0" w:color="auto"/>
                                                    <w:right w:val="none" w:sz="0" w:space="0" w:color="auto"/>
                                                  </w:divBdr>
                                                </w:div>
                                                <w:div w:id="1553079085">
                                                  <w:marLeft w:val="0"/>
                                                  <w:marRight w:val="0"/>
                                                  <w:marTop w:val="0"/>
                                                  <w:marBottom w:val="0"/>
                                                  <w:divBdr>
                                                    <w:top w:val="none" w:sz="0" w:space="0" w:color="auto"/>
                                                    <w:left w:val="none" w:sz="0" w:space="0" w:color="auto"/>
                                                    <w:bottom w:val="none" w:sz="0" w:space="0" w:color="auto"/>
                                                    <w:right w:val="none" w:sz="0" w:space="0" w:color="auto"/>
                                                  </w:divBdr>
                                                </w:div>
                                                <w:div w:id="463620276">
                                                  <w:marLeft w:val="0"/>
                                                  <w:marRight w:val="0"/>
                                                  <w:marTop w:val="0"/>
                                                  <w:marBottom w:val="0"/>
                                                  <w:divBdr>
                                                    <w:top w:val="none" w:sz="0" w:space="0" w:color="auto"/>
                                                    <w:left w:val="none" w:sz="0" w:space="0" w:color="auto"/>
                                                    <w:bottom w:val="none" w:sz="0" w:space="0" w:color="auto"/>
                                                    <w:right w:val="none" w:sz="0" w:space="0" w:color="auto"/>
                                                  </w:divBdr>
                                                </w:div>
                                              </w:divsChild>
                                            </w:div>
                                            <w:div w:id="72129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20" Type="http://schemas.microsoft.com/office/2016/09/relationships/commentsIds" Target="commentsIds.xml"/><Relationship Id="rId21" Type="http://schemas.microsoft.com/office/2011/relationships/people" Target="people.xml"/><Relationship Id="rId10" Type="http://schemas.openxmlformats.org/officeDocument/2006/relationships/hyperlink" Target="https://en.wikipedia.org/wiki/International_Commission_of_Jurists" TargetMode="External"/><Relationship Id="rId11" Type="http://schemas.openxmlformats.org/officeDocument/2006/relationships/hyperlink" Target="http://www.icj.org" TargetMode="External"/><Relationship Id="rId12" Type="http://schemas.openxmlformats.org/officeDocument/2006/relationships/hyperlink" Target="mailto:info@icj.org" TargetMode="External"/><Relationship Id="rId13" Type="http://schemas.openxmlformats.org/officeDocument/2006/relationships/hyperlink" Target="https://indiankanoon.org/doc/1305721/"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9" Type="http://schemas.microsoft.com/office/2011/relationships/commentsExtended" Target="commentsExtended.xml"/></Relationships>
</file>

<file path=word/_rels/footnotes.xml.rels><?xml version="1.0" encoding="UTF-8" standalone="yes"?>
<Relationships xmlns="http://schemas.openxmlformats.org/package/2006/relationships"><Relationship Id="rId3" Type="http://schemas.openxmlformats.org/officeDocument/2006/relationships/hyperlink" Target="https://www.youthkiawaaz.com/2016/11/no-public-toilets-for-transgender-people/(Accessed" TargetMode="External"/><Relationship Id="rId4" Type="http://schemas.openxmlformats.org/officeDocument/2006/relationships/hyperlink" Target="http://yogyakartaprinciples.org/wp-content/uploads/2017/11/A5_yogyakartaWEB-2.pdf" TargetMode="External"/><Relationship Id="rId5" Type="http://schemas.openxmlformats.org/officeDocument/2006/relationships/hyperlink" Target="https://mdws.gov.in/sites/default/files/NRDWP_Guidelines_2013_0.pdf" TargetMode="External"/><Relationship Id="rId6" Type="http://schemas.openxmlformats.org/officeDocument/2006/relationships/hyperlink" Target="https://mdws.gov.in/sites/default/files/Complete%20set%20guidelines_1.pdf" TargetMode="External"/><Relationship Id="rId7" Type="http://schemas.openxmlformats.org/officeDocument/2006/relationships/hyperlink" Target="https://mdws.gov.in/sites/default/files/Guidelines%20on%20Gender%20issues%20in%20Sanitation.pdf" TargetMode="External"/><Relationship Id="rId8" Type="http://schemas.openxmlformats.org/officeDocument/2006/relationships/hyperlink" Target="http://www.khpt.org/wp-content/uploads/2018/01/TG-policy-1.pdf" TargetMode="External"/><Relationship Id="rId9" Type="http://schemas.openxmlformats.org/officeDocument/2006/relationships/hyperlink" Target="http://www.tribuneindia.com/news/nation/india-s-first-toilet-for-transgenders-in-mysore/160491.html" TargetMode="External"/><Relationship Id="rId10" Type="http://schemas.openxmlformats.org/officeDocument/2006/relationships/hyperlink" Target="https://in.reuters.com/article/india-transgender-toilets/indias-transgender-community-still-waiting-for-toilets-it-was-promised-idINKCN10J0VL" TargetMode="External"/><Relationship Id="rId11" Type="http://schemas.openxmlformats.org/officeDocument/2006/relationships/hyperlink" Target="https://www.hindustantimes.com/india-news/madras-hc-directs-tamil-nadu-govt-to-build-public-toilets-for-transgenders/story-eVlLHoEpkF5RiHwhEF05iL.html" TargetMode="External"/><Relationship Id="rId1" Type="http://schemas.openxmlformats.org/officeDocument/2006/relationships/hyperlink" Target="https://www.icj.org/wp-content/uploads/2017/02/India-SOGI-report-Publications-Reports-Thematic-report-2017-ENG.pdf" TargetMode="External"/><Relationship Id="rId2" Type="http://schemas.openxmlformats.org/officeDocument/2006/relationships/hyperlink" Target="https://in.reuters.com/article/india-transgender-toilets-idINKCN10J0V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2E854-F74C-9C41-9E4E-50F35BDEC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3870</Words>
  <Characters>22065</Characters>
  <Application>Microsoft Macintosh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Saumya Maheshwari</dc:creator>
  <cp:keywords/>
  <dc:description/>
  <cp:lastModifiedBy>Maitreyi Gupta</cp:lastModifiedBy>
  <cp:revision>8</cp:revision>
  <dcterms:created xsi:type="dcterms:W3CDTF">2019-02-28T08:42:00Z</dcterms:created>
  <dcterms:modified xsi:type="dcterms:W3CDTF">2019-02-28T09:06:00Z</dcterms:modified>
</cp:coreProperties>
</file>